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12" w:rsidRPr="00784564" w:rsidRDefault="00784564" w:rsidP="00784564">
      <w:pPr>
        <w:rPr>
          <w:rFonts w:ascii="Verdana" w:hAnsi="Verdana"/>
          <w:sz w:val="24"/>
          <w:szCs w:val="24"/>
        </w:rPr>
      </w:pPr>
      <w:r>
        <w:rPr>
          <w:rFonts w:ascii="Verdana" w:hAnsi="Verdana"/>
          <w:sz w:val="24"/>
          <w:szCs w:val="24"/>
        </w:rPr>
        <w:t>A.</w:t>
      </w:r>
      <w:r w:rsidR="003F327D">
        <w:rPr>
          <w:rFonts w:ascii="Verdana" w:hAnsi="Verdana"/>
          <w:sz w:val="24"/>
          <w:szCs w:val="24"/>
        </w:rPr>
        <w:t xml:space="preserve"> </w:t>
      </w:r>
      <w:r w:rsidR="000312C4" w:rsidRPr="00784564">
        <w:rPr>
          <w:rFonts w:ascii="Verdana" w:hAnsi="Verdana"/>
          <w:sz w:val="24"/>
          <w:szCs w:val="24"/>
        </w:rPr>
        <w:t xml:space="preserve">Humble petitioners by this petition have challenged the insistence on the part of the Tribunal to proceed with the hearing of these appeals filed by the respondent No. 2 before the Tribunal as per the list attached at Exhibit-K with the petition relating to assessment year 1996-97 and from and for the assessment years 2007-08 to 2017-18 with a prayer to this Honourable Court to take up the pending hearing of the appeal in ITXA 1041 of </w:t>
      </w:r>
      <w:r w:rsidR="00AF2912" w:rsidRPr="00784564">
        <w:rPr>
          <w:rFonts w:ascii="Verdana" w:hAnsi="Verdana"/>
          <w:sz w:val="24"/>
          <w:szCs w:val="24"/>
        </w:rPr>
        <w:t>2012</w:t>
      </w:r>
      <w:r w:rsidR="000312C4" w:rsidRPr="00784564">
        <w:rPr>
          <w:rFonts w:ascii="Verdana" w:hAnsi="Verdana"/>
          <w:sz w:val="24"/>
          <w:szCs w:val="24"/>
        </w:rPr>
        <w:t xml:space="preserve"> and WP No 1898</w:t>
      </w:r>
      <w:r w:rsidR="00AF2912" w:rsidRPr="00784564">
        <w:rPr>
          <w:rFonts w:ascii="Verdana" w:hAnsi="Verdana"/>
          <w:sz w:val="24"/>
          <w:szCs w:val="24"/>
        </w:rPr>
        <w:t xml:space="preserve"> of 2012 arising from and preferred by the respondent No. 2 against order dated 30/03/2012 in ITA No. 1285/Mumbai/2010 passed by the Tribunal which is annexed at Exhibit-B to this petition.</w:t>
      </w:r>
    </w:p>
    <w:p w:rsidR="00545F80" w:rsidRDefault="00784564">
      <w:pPr>
        <w:rPr>
          <w:rFonts w:ascii="Verdana" w:hAnsi="Verdana"/>
          <w:sz w:val="24"/>
          <w:szCs w:val="24"/>
        </w:rPr>
      </w:pPr>
      <w:r>
        <w:rPr>
          <w:rFonts w:ascii="Verdana" w:hAnsi="Verdana"/>
          <w:sz w:val="24"/>
          <w:szCs w:val="24"/>
        </w:rPr>
        <w:t>B.</w:t>
      </w:r>
      <w:r w:rsidR="003F327D">
        <w:rPr>
          <w:rFonts w:ascii="Verdana" w:hAnsi="Verdana"/>
          <w:sz w:val="24"/>
          <w:szCs w:val="24"/>
        </w:rPr>
        <w:t xml:space="preserve"> </w:t>
      </w:r>
      <w:r w:rsidR="00545F80">
        <w:rPr>
          <w:rFonts w:ascii="Verdana" w:hAnsi="Verdana"/>
          <w:sz w:val="24"/>
          <w:szCs w:val="24"/>
        </w:rPr>
        <w:t>In the rejoinder, humble petitioner would not wish to offer any comment on the merits of the issues pending adjudication before this Honourable Court in ITXA 1041 of 2012 and W.P 1898 of 2012 and woul</w:t>
      </w:r>
      <w:r w:rsidR="00E3072B">
        <w:rPr>
          <w:rFonts w:ascii="Verdana" w:hAnsi="Verdana"/>
          <w:sz w:val="24"/>
          <w:szCs w:val="24"/>
        </w:rPr>
        <w:t xml:space="preserve">d </w:t>
      </w:r>
      <w:r w:rsidR="00545F80">
        <w:rPr>
          <w:rFonts w:ascii="Verdana" w:hAnsi="Verdana"/>
          <w:sz w:val="24"/>
          <w:szCs w:val="24"/>
        </w:rPr>
        <w:t>only offer comments by way of rebuttal to the contentions made in the affidavit-in-reply of the respondent No. 2.</w:t>
      </w:r>
    </w:p>
    <w:p w:rsidR="00AF2912" w:rsidRDefault="00784564">
      <w:pPr>
        <w:rPr>
          <w:rFonts w:ascii="Verdana" w:hAnsi="Verdana"/>
          <w:sz w:val="24"/>
          <w:szCs w:val="24"/>
        </w:rPr>
      </w:pPr>
      <w:r>
        <w:rPr>
          <w:rFonts w:ascii="Verdana" w:hAnsi="Verdana"/>
          <w:sz w:val="24"/>
          <w:szCs w:val="24"/>
        </w:rPr>
        <w:t>C</w:t>
      </w:r>
      <w:r w:rsidR="003F327D">
        <w:rPr>
          <w:rFonts w:ascii="Verdana" w:hAnsi="Verdana"/>
          <w:sz w:val="24"/>
          <w:szCs w:val="24"/>
        </w:rPr>
        <w:t xml:space="preserve"> </w:t>
      </w:r>
      <w:r w:rsidR="00AF2912">
        <w:rPr>
          <w:rFonts w:ascii="Verdana" w:hAnsi="Verdana"/>
          <w:sz w:val="24"/>
          <w:szCs w:val="24"/>
        </w:rPr>
        <w:t>With this rejoinder, the humble petitioner prays to submit that unless the issues preferred in the W.P No. 1898 of 2012 and in ITXA 1041 of 2012 are decided</w:t>
      </w:r>
      <w:r w:rsidR="00E3072B">
        <w:rPr>
          <w:rFonts w:ascii="Verdana" w:hAnsi="Verdana"/>
          <w:sz w:val="24"/>
          <w:szCs w:val="24"/>
        </w:rPr>
        <w:t xml:space="preserve"> by this Honourable Court</w:t>
      </w:r>
      <w:r w:rsidR="00AF2912">
        <w:rPr>
          <w:rFonts w:ascii="Verdana" w:hAnsi="Verdana"/>
          <w:sz w:val="24"/>
          <w:szCs w:val="24"/>
        </w:rPr>
        <w:t>, any decision by the Tribunal in the appeals listed in Exhibit-K to this petition would cause irreparable damage to the interest of Revenue for, among other reasons, as under:</w:t>
      </w:r>
    </w:p>
    <w:p w:rsidR="00EF59E2" w:rsidRDefault="00AF2912" w:rsidP="00EF59E2">
      <w:pPr>
        <w:pStyle w:val="ListParagraph"/>
        <w:numPr>
          <w:ilvl w:val="0"/>
          <w:numId w:val="1"/>
        </w:numPr>
        <w:rPr>
          <w:rFonts w:ascii="Verdana" w:hAnsi="Verdana"/>
          <w:sz w:val="24"/>
          <w:szCs w:val="24"/>
        </w:rPr>
      </w:pPr>
      <w:r w:rsidRPr="00EF59E2">
        <w:rPr>
          <w:rFonts w:ascii="Verdana" w:hAnsi="Verdana"/>
          <w:sz w:val="24"/>
          <w:szCs w:val="24"/>
        </w:rPr>
        <w:t>Subsequent to</w:t>
      </w:r>
      <w:r w:rsidR="00E3072B">
        <w:rPr>
          <w:rFonts w:ascii="Verdana" w:hAnsi="Verdana"/>
          <w:sz w:val="24"/>
          <w:szCs w:val="24"/>
        </w:rPr>
        <w:t xml:space="preserve"> the </w:t>
      </w:r>
      <w:r w:rsidRPr="00EF59E2">
        <w:rPr>
          <w:rFonts w:ascii="Verdana" w:hAnsi="Verdana"/>
          <w:sz w:val="24"/>
          <w:szCs w:val="24"/>
        </w:rPr>
        <w:t>filing of the W.P and the appeal as aforesaid</w:t>
      </w:r>
      <w:r w:rsidR="00EF59E2" w:rsidRPr="00EF59E2">
        <w:rPr>
          <w:rFonts w:ascii="Verdana" w:hAnsi="Verdana"/>
          <w:sz w:val="24"/>
          <w:szCs w:val="24"/>
        </w:rPr>
        <w:t xml:space="preserve"> against order dated 30/03/2012</w:t>
      </w:r>
      <w:r w:rsidRPr="00EF59E2">
        <w:rPr>
          <w:rFonts w:ascii="Verdana" w:hAnsi="Verdana"/>
          <w:sz w:val="24"/>
          <w:szCs w:val="24"/>
        </w:rPr>
        <w:t>, the Tribunal in ITA NO.</w:t>
      </w:r>
      <w:r w:rsidR="00EF59E2" w:rsidRPr="00EF59E2">
        <w:rPr>
          <w:rFonts w:ascii="Verdana" w:hAnsi="Verdana"/>
          <w:sz w:val="24"/>
          <w:szCs w:val="24"/>
        </w:rPr>
        <w:t>3301/Mumbai/2019 passed an order on 02/11/2021, annexed at Exhibit-I to the present petition</w:t>
      </w:r>
      <w:r w:rsidR="002104E5">
        <w:rPr>
          <w:rFonts w:ascii="Verdana" w:hAnsi="Verdana"/>
          <w:sz w:val="24"/>
          <w:szCs w:val="24"/>
        </w:rPr>
        <w:t xml:space="preserve"> </w:t>
      </w:r>
      <w:r w:rsidR="00EF59E2" w:rsidRPr="00EF59E2">
        <w:rPr>
          <w:rFonts w:ascii="Verdana" w:hAnsi="Verdana"/>
          <w:sz w:val="24"/>
          <w:szCs w:val="24"/>
        </w:rPr>
        <w:t xml:space="preserve">filed by the respondent No. 2 against </w:t>
      </w:r>
      <w:r w:rsidR="002104E5">
        <w:rPr>
          <w:rFonts w:ascii="Verdana" w:hAnsi="Verdana"/>
          <w:sz w:val="24"/>
          <w:szCs w:val="24"/>
        </w:rPr>
        <w:t xml:space="preserve">the </w:t>
      </w:r>
      <w:r w:rsidR="00EF59E2" w:rsidRPr="00EF59E2">
        <w:rPr>
          <w:rFonts w:ascii="Verdana" w:hAnsi="Verdana"/>
          <w:sz w:val="24"/>
          <w:szCs w:val="24"/>
        </w:rPr>
        <w:t>order dated 28/03/2019 under section 12AA of the Income-tax Act, 1961 (“ the Act”, in short)</w:t>
      </w:r>
      <w:r w:rsidR="002104E5">
        <w:rPr>
          <w:rFonts w:ascii="Verdana" w:hAnsi="Verdana"/>
          <w:sz w:val="24"/>
          <w:szCs w:val="24"/>
        </w:rPr>
        <w:t xml:space="preserve"> of</w:t>
      </w:r>
      <w:r w:rsidR="00BE22E2">
        <w:rPr>
          <w:rFonts w:ascii="Verdana" w:hAnsi="Verdana"/>
          <w:sz w:val="24"/>
          <w:szCs w:val="24"/>
        </w:rPr>
        <w:t xml:space="preserve"> </w:t>
      </w:r>
      <w:r w:rsidR="00EF59E2" w:rsidRPr="00EF59E2">
        <w:rPr>
          <w:rFonts w:ascii="Verdana" w:hAnsi="Verdana"/>
          <w:sz w:val="24"/>
          <w:szCs w:val="24"/>
        </w:rPr>
        <w:t>the Principal Commissioner of Income-tax (Central)-3, Mumbai,</w:t>
      </w:r>
      <w:r w:rsidR="00C02594">
        <w:rPr>
          <w:rFonts w:ascii="Verdana" w:hAnsi="Verdana"/>
          <w:sz w:val="24"/>
          <w:szCs w:val="24"/>
        </w:rPr>
        <w:t xml:space="preserve"> (“the CIT”, in short)</w:t>
      </w:r>
      <w:r w:rsidR="00EF59E2" w:rsidRPr="00EF59E2">
        <w:rPr>
          <w:rFonts w:ascii="Verdana" w:hAnsi="Verdana"/>
          <w:sz w:val="24"/>
          <w:szCs w:val="24"/>
        </w:rPr>
        <w:t xml:space="preserve"> annexed at Exhibit-H to the present petition.</w:t>
      </w:r>
    </w:p>
    <w:p w:rsidR="00EF59E2" w:rsidRDefault="00EF59E2" w:rsidP="00EF59E2">
      <w:pPr>
        <w:pStyle w:val="ListParagraph"/>
        <w:rPr>
          <w:rFonts w:ascii="Verdana" w:hAnsi="Verdana"/>
          <w:sz w:val="24"/>
          <w:szCs w:val="24"/>
        </w:rPr>
      </w:pPr>
    </w:p>
    <w:p w:rsidR="00094CEF" w:rsidRDefault="00EF59E2" w:rsidP="00EF59E2">
      <w:pPr>
        <w:pStyle w:val="ListParagraph"/>
        <w:numPr>
          <w:ilvl w:val="0"/>
          <w:numId w:val="1"/>
        </w:numPr>
        <w:rPr>
          <w:rFonts w:ascii="Verdana" w:hAnsi="Verdana"/>
          <w:sz w:val="24"/>
          <w:szCs w:val="24"/>
        </w:rPr>
      </w:pPr>
      <w:r>
        <w:rPr>
          <w:rFonts w:ascii="Verdana" w:hAnsi="Verdana"/>
          <w:sz w:val="24"/>
          <w:szCs w:val="24"/>
        </w:rPr>
        <w:t xml:space="preserve">In the said order dated 02/11/2021, the Tribunal gave certain </w:t>
      </w:r>
      <w:r w:rsidR="00C02594">
        <w:rPr>
          <w:rFonts w:ascii="Verdana" w:hAnsi="Verdana"/>
          <w:sz w:val="24"/>
          <w:szCs w:val="24"/>
        </w:rPr>
        <w:t>finding in</w:t>
      </w:r>
      <w:r w:rsidR="00094CEF">
        <w:rPr>
          <w:rFonts w:ascii="Verdana" w:hAnsi="Verdana"/>
          <w:sz w:val="24"/>
          <w:szCs w:val="24"/>
        </w:rPr>
        <w:t xml:space="preserve"> Para (3) of the order</w:t>
      </w:r>
      <w:r w:rsidR="00C02594">
        <w:rPr>
          <w:rFonts w:ascii="Verdana" w:hAnsi="Verdana"/>
          <w:sz w:val="24"/>
          <w:szCs w:val="24"/>
        </w:rPr>
        <w:t xml:space="preserve"> </w:t>
      </w:r>
      <w:r>
        <w:rPr>
          <w:rFonts w:ascii="Verdana" w:hAnsi="Verdana"/>
          <w:sz w:val="24"/>
          <w:szCs w:val="24"/>
        </w:rPr>
        <w:t xml:space="preserve">as to the date of registration to the Respondent No. 2 with the mention that the registration </w:t>
      </w:r>
      <w:r w:rsidR="00094CEF">
        <w:rPr>
          <w:rFonts w:ascii="Verdana" w:hAnsi="Verdana"/>
          <w:sz w:val="24"/>
          <w:szCs w:val="24"/>
        </w:rPr>
        <w:t>granted under section 12A of the Act to it on 12</w:t>
      </w:r>
      <w:r w:rsidR="00094CEF" w:rsidRPr="00094CEF">
        <w:rPr>
          <w:rFonts w:ascii="Verdana" w:hAnsi="Verdana"/>
          <w:sz w:val="24"/>
          <w:szCs w:val="24"/>
          <w:vertAlign w:val="superscript"/>
        </w:rPr>
        <w:t>th</w:t>
      </w:r>
      <w:r w:rsidR="00094CEF">
        <w:rPr>
          <w:rFonts w:ascii="Verdana" w:hAnsi="Verdana"/>
          <w:sz w:val="24"/>
          <w:szCs w:val="24"/>
        </w:rPr>
        <w:t xml:space="preserve"> February, 1996 is y</w:t>
      </w:r>
      <w:r w:rsidR="00C02594">
        <w:rPr>
          <w:rFonts w:ascii="Verdana" w:hAnsi="Verdana"/>
          <w:sz w:val="24"/>
          <w:szCs w:val="24"/>
        </w:rPr>
        <w:t>et to be cancelled or withdrawn meaning thereby that the same is continued till that day.</w:t>
      </w:r>
    </w:p>
    <w:p w:rsidR="00094CEF" w:rsidRPr="00094CEF" w:rsidRDefault="00094CEF" w:rsidP="00094CEF">
      <w:pPr>
        <w:pStyle w:val="ListParagraph"/>
        <w:rPr>
          <w:rFonts w:ascii="Verdana" w:hAnsi="Verdana"/>
          <w:sz w:val="24"/>
          <w:szCs w:val="24"/>
        </w:rPr>
      </w:pPr>
    </w:p>
    <w:p w:rsidR="00536A3A" w:rsidRDefault="00094CEF" w:rsidP="00EF59E2">
      <w:pPr>
        <w:pStyle w:val="ListParagraph"/>
        <w:numPr>
          <w:ilvl w:val="0"/>
          <w:numId w:val="1"/>
        </w:numPr>
        <w:rPr>
          <w:rFonts w:ascii="Verdana" w:hAnsi="Verdana"/>
          <w:sz w:val="24"/>
          <w:szCs w:val="24"/>
        </w:rPr>
      </w:pPr>
      <w:r>
        <w:rPr>
          <w:rFonts w:ascii="Verdana" w:hAnsi="Verdana"/>
          <w:sz w:val="24"/>
          <w:szCs w:val="24"/>
        </w:rPr>
        <w:t>This finding was recorded which was not subject-matter of appeal</w:t>
      </w:r>
      <w:r w:rsidR="00536A3A">
        <w:rPr>
          <w:rFonts w:ascii="Verdana" w:hAnsi="Verdana"/>
          <w:sz w:val="24"/>
          <w:szCs w:val="24"/>
        </w:rPr>
        <w:t xml:space="preserve"> in ITA No 3301/Mumbai/2019 and without inquiry in to the fact that this issue of registration under section 12A of the Act was pending </w:t>
      </w:r>
      <w:r w:rsidR="00536A3A">
        <w:rPr>
          <w:rFonts w:ascii="Verdana" w:hAnsi="Verdana"/>
          <w:sz w:val="24"/>
          <w:szCs w:val="24"/>
        </w:rPr>
        <w:lastRenderedPageBreak/>
        <w:t>adjudication before this Honourable Court in ITXA 1041 of 2012 and W.P No 1898 of 2012 wherein this Honourable Court was pleased to frame substantial question of law in the said appeal.</w:t>
      </w:r>
      <w:r w:rsidR="00E27940">
        <w:rPr>
          <w:rFonts w:ascii="Verdana" w:hAnsi="Verdana"/>
          <w:sz w:val="24"/>
          <w:szCs w:val="24"/>
        </w:rPr>
        <w:t xml:space="preserve"> This finding was therefore beyond their jurisdiction</w:t>
      </w:r>
      <w:r w:rsidR="004C2C07">
        <w:rPr>
          <w:rFonts w:ascii="Verdana" w:hAnsi="Verdana"/>
          <w:sz w:val="24"/>
          <w:szCs w:val="24"/>
        </w:rPr>
        <w:t xml:space="preserve"> and to that extent the Tribunal exceeded their jurisdiction</w:t>
      </w:r>
      <w:r w:rsidR="00E27940">
        <w:rPr>
          <w:rFonts w:ascii="Verdana" w:hAnsi="Verdana"/>
          <w:sz w:val="24"/>
          <w:szCs w:val="24"/>
        </w:rPr>
        <w:t>, particularly when is</w:t>
      </w:r>
      <w:r w:rsidR="004C2C07">
        <w:rPr>
          <w:rFonts w:ascii="Verdana" w:hAnsi="Verdana"/>
          <w:sz w:val="24"/>
          <w:szCs w:val="24"/>
        </w:rPr>
        <w:t>sues relating to this aspect were</w:t>
      </w:r>
      <w:r w:rsidR="00E27940">
        <w:rPr>
          <w:rFonts w:ascii="Verdana" w:hAnsi="Verdana"/>
          <w:sz w:val="24"/>
          <w:szCs w:val="24"/>
        </w:rPr>
        <w:t xml:space="preserve"> pending before this Honourable Court</w:t>
      </w:r>
      <w:r w:rsidR="004C2C07">
        <w:rPr>
          <w:rFonts w:ascii="Verdana" w:hAnsi="Verdana"/>
          <w:sz w:val="24"/>
          <w:szCs w:val="24"/>
        </w:rPr>
        <w:t>.</w:t>
      </w:r>
    </w:p>
    <w:p w:rsidR="00B8620F" w:rsidRPr="00B8620F" w:rsidRDefault="00B8620F" w:rsidP="00B8620F">
      <w:pPr>
        <w:pStyle w:val="ListParagraph"/>
        <w:rPr>
          <w:rFonts w:ascii="Verdana" w:hAnsi="Verdana"/>
          <w:sz w:val="24"/>
          <w:szCs w:val="24"/>
        </w:rPr>
      </w:pPr>
    </w:p>
    <w:p w:rsidR="00B8620F" w:rsidRDefault="00B8620F" w:rsidP="00EF59E2">
      <w:pPr>
        <w:pStyle w:val="ListParagraph"/>
        <w:numPr>
          <w:ilvl w:val="0"/>
          <w:numId w:val="1"/>
        </w:numPr>
        <w:rPr>
          <w:rFonts w:ascii="Verdana" w:hAnsi="Verdana"/>
          <w:sz w:val="24"/>
          <w:szCs w:val="24"/>
        </w:rPr>
      </w:pPr>
      <w:r>
        <w:rPr>
          <w:rFonts w:ascii="Verdana" w:hAnsi="Verdana"/>
          <w:sz w:val="24"/>
          <w:szCs w:val="24"/>
        </w:rPr>
        <w:t>S</w:t>
      </w:r>
      <w:r w:rsidR="00E3072B">
        <w:rPr>
          <w:rFonts w:ascii="Verdana" w:hAnsi="Verdana"/>
          <w:sz w:val="24"/>
          <w:szCs w:val="24"/>
        </w:rPr>
        <w:t xml:space="preserve">ection 254 (1) </w:t>
      </w:r>
      <w:r>
        <w:rPr>
          <w:rFonts w:ascii="Verdana" w:hAnsi="Verdana"/>
          <w:sz w:val="24"/>
          <w:szCs w:val="24"/>
        </w:rPr>
        <w:t>of the Act</w:t>
      </w:r>
      <w:r w:rsidR="00E3072B">
        <w:rPr>
          <w:rFonts w:ascii="Verdana" w:hAnsi="Verdana"/>
          <w:sz w:val="24"/>
          <w:szCs w:val="24"/>
        </w:rPr>
        <w:t xml:space="preserve"> dealing with the orders of the Tribunal</w:t>
      </w:r>
      <w:r>
        <w:rPr>
          <w:rFonts w:ascii="Verdana" w:hAnsi="Verdana"/>
          <w:sz w:val="24"/>
          <w:szCs w:val="24"/>
        </w:rPr>
        <w:t xml:space="preserve"> is</w:t>
      </w:r>
      <w:r w:rsidR="00E3072B">
        <w:rPr>
          <w:rFonts w:ascii="Verdana" w:hAnsi="Verdana"/>
          <w:sz w:val="24"/>
          <w:szCs w:val="24"/>
        </w:rPr>
        <w:t xml:space="preserve"> reproduced as under:</w:t>
      </w:r>
    </w:p>
    <w:p w:rsidR="00D04BDF" w:rsidRPr="00D04BDF" w:rsidRDefault="00D04BDF" w:rsidP="00D04BDF">
      <w:pPr>
        <w:pStyle w:val="ListParagraph"/>
        <w:rPr>
          <w:rFonts w:ascii="Verdana" w:hAnsi="Verdana"/>
          <w:sz w:val="24"/>
          <w:szCs w:val="24"/>
        </w:rPr>
      </w:pPr>
    </w:p>
    <w:p w:rsidR="00D04BDF" w:rsidRDefault="00D04BDF" w:rsidP="00D04BDF">
      <w:pPr>
        <w:pStyle w:val="ListParagraph"/>
        <w:rPr>
          <w:rFonts w:ascii="Verdana" w:hAnsi="Verdana"/>
          <w:sz w:val="24"/>
          <w:szCs w:val="24"/>
        </w:rPr>
      </w:pPr>
      <w:r>
        <w:rPr>
          <w:rFonts w:ascii="Verdana" w:hAnsi="Verdana"/>
          <w:sz w:val="24"/>
          <w:szCs w:val="24"/>
        </w:rPr>
        <w:t>“254. The appellate Tribunal may, after giving both the parties to the appeal an opportunity of being heard, pass such orders thereon as it thinks fit”.</w:t>
      </w:r>
    </w:p>
    <w:p w:rsidR="00E27940" w:rsidRDefault="00E27940" w:rsidP="00D04BDF">
      <w:pPr>
        <w:pStyle w:val="ListParagraph"/>
        <w:rPr>
          <w:rFonts w:ascii="Verdana" w:hAnsi="Verdana"/>
          <w:sz w:val="24"/>
          <w:szCs w:val="24"/>
        </w:rPr>
      </w:pPr>
    </w:p>
    <w:p w:rsidR="00E27940" w:rsidRDefault="00D04BDF" w:rsidP="00D04BDF">
      <w:pPr>
        <w:pStyle w:val="ListParagraph"/>
        <w:rPr>
          <w:rFonts w:ascii="Verdana" w:hAnsi="Verdana"/>
          <w:sz w:val="24"/>
          <w:szCs w:val="24"/>
        </w:rPr>
      </w:pPr>
      <w:r>
        <w:rPr>
          <w:rFonts w:ascii="Verdana" w:hAnsi="Verdana"/>
          <w:sz w:val="24"/>
          <w:szCs w:val="24"/>
        </w:rPr>
        <w:t>The powers of the Tribunal in dealing with appeals are expressed in the widest possible terms and are similar to the power of an appellate court under the Civil Procedure Code. The section provides that the Tribunal may, after giving both the parties to the appeal an opportunity of being heard pass such orders thereon as it thinks it. The word “thereon” restricts the jurisdiction of the Tribunal</w:t>
      </w:r>
      <w:r w:rsidR="00E27940">
        <w:rPr>
          <w:rFonts w:ascii="Verdana" w:hAnsi="Verdana"/>
          <w:sz w:val="24"/>
          <w:szCs w:val="24"/>
        </w:rPr>
        <w:t xml:space="preserve"> </w:t>
      </w:r>
      <w:r>
        <w:rPr>
          <w:rFonts w:ascii="Verdana" w:hAnsi="Verdana"/>
          <w:sz w:val="24"/>
          <w:szCs w:val="24"/>
        </w:rPr>
        <w:t xml:space="preserve">to the subject-matter of appeal and the subject-matter of </w:t>
      </w:r>
      <w:r w:rsidR="00E27940">
        <w:rPr>
          <w:rFonts w:ascii="Verdana" w:hAnsi="Verdana"/>
          <w:sz w:val="24"/>
          <w:szCs w:val="24"/>
        </w:rPr>
        <w:t xml:space="preserve">the </w:t>
      </w:r>
      <w:r>
        <w:rPr>
          <w:rFonts w:ascii="Verdana" w:hAnsi="Verdana"/>
          <w:sz w:val="24"/>
          <w:szCs w:val="24"/>
        </w:rPr>
        <w:t>appeal</w:t>
      </w:r>
      <w:r w:rsidR="00E27940">
        <w:rPr>
          <w:rFonts w:ascii="Verdana" w:hAnsi="Verdana"/>
          <w:sz w:val="24"/>
          <w:szCs w:val="24"/>
        </w:rPr>
        <w:t xml:space="preserve"> is constituted</w:t>
      </w:r>
      <w:r w:rsidR="00E27940" w:rsidRPr="00E27940">
        <w:rPr>
          <w:rFonts w:ascii="Verdana" w:hAnsi="Verdana"/>
          <w:sz w:val="24"/>
          <w:szCs w:val="24"/>
        </w:rPr>
        <w:t xml:space="preserve"> </w:t>
      </w:r>
      <w:r w:rsidR="00E27940">
        <w:rPr>
          <w:rFonts w:ascii="Verdana" w:hAnsi="Verdana"/>
          <w:sz w:val="24"/>
          <w:szCs w:val="24"/>
        </w:rPr>
        <w:t>by the original grounds of appeal and such other additional ground (s) which the Tribunal may admit. The power to pass such orders as the Tribunal may think fit can be exercised only in relation to the matters that arise in the appeal. It is not open to the Tribunal to adjudicate or give a finding on a question which is not in dispute and which does not form the subject-matter of the appeal.</w:t>
      </w:r>
    </w:p>
    <w:p w:rsidR="00D04BDF" w:rsidRDefault="00E27940" w:rsidP="00D04BDF">
      <w:pPr>
        <w:pStyle w:val="ListParagraph"/>
        <w:rPr>
          <w:rFonts w:ascii="Verdana" w:hAnsi="Verdana"/>
          <w:sz w:val="24"/>
          <w:szCs w:val="24"/>
        </w:rPr>
      </w:pPr>
      <w:r>
        <w:rPr>
          <w:rFonts w:ascii="Verdana" w:hAnsi="Verdana"/>
          <w:sz w:val="24"/>
          <w:szCs w:val="24"/>
        </w:rPr>
        <w:t xml:space="preserve">  </w:t>
      </w:r>
      <w:r w:rsidR="00D04BDF">
        <w:rPr>
          <w:rFonts w:ascii="Verdana" w:hAnsi="Verdana"/>
          <w:sz w:val="24"/>
          <w:szCs w:val="24"/>
        </w:rPr>
        <w:t xml:space="preserve">  </w:t>
      </w:r>
    </w:p>
    <w:p w:rsidR="004C2C07" w:rsidRDefault="004C2C07" w:rsidP="00D04BDF">
      <w:pPr>
        <w:pStyle w:val="ListParagraph"/>
        <w:numPr>
          <w:ilvl w:val="0"/>
          <w:numId w:val="1"/>
        </w:numPr>
        <w:rPr>
          <w:rFonts w:ascii="Verdana" w:hAnsi="Verdana"/>
          <w:sz w:val="24"/>
          <w:szCs w:val="24"/>
        </w:rPr>
      </w:pPr>
      <w:r>
        <w:rPr>
          <w:rFonts w:ascii="Verdana" w:hAnsi="Verdana"/>
          <w:sz w:val="24"/>
          <w:szCs w:val="24"/>
        </w:rPr>
        <w:t>Further,</w:t>
      </w:r>
      <w:r w:rsidR="00D04BDF" w:rsidRPr="00D04BDF">
        <w:rPr>
          <w:rFonts w:ascii="Verdana" w:hAnsi="Verdana"/>
          <w:sz w:val="24"/>
          <w:szCs w:val="24"/>
        </w:rPr>
        <w:t xml:space="preserve"> </w:t>
      </w:r>
      <w:r w:rsidR="007C61BD" w:rsidRPr="00D04BDF">
        <w:rPr>
          <w:rFonts w:ascii="Verdana" w:hAnsi="Verdana"/>
          <w:sz w:val="24"/>
          <w:szCs w:val="24"/>
        </w:rPr>
        <w:t>certain</w:t>
      </w:r>
      <w:r w:rsidR="00536A3A" w:rsidRPr="00D04BDF">
        <w:rPr>
          <w:rFonts w:ascii="Verdana" w:hAnsi="Verdana"/>
          <w:sz w:val="24"/>
          <w:szCs w:val="24"/>
        </w:rPr>
        <w:t xml:space="preserve"> observations </w:t>
      </w:r>
      <w:r w:rsidR="008D6A57" w:rsidRPr="00D04BDF">
        <w:rPr>
          <w:rFonts w:ascii="Verdana" w:hAnsi="Verdana"/>
          <w:sz w:val="24"/>
          <w:szCs w:val="24"/>
        </w:rPr>
        <w:t xml:space="preserve">in Para (5) at Page (3) of this order dated 02/11/2021 </w:t>
      </w:r>
      <w:r w:rsidR="00536A3A" w:rsidRPr="00D04BDF">
        <w:rPr>
          <w:rFonts w:ascii="Verdana" w:hAnsi="Verdana"/>
          <w:sz w:val="24"/>
          <w:szCs w:val="24"/>
        </w:rPr>
        <w:t>were made and finding recorded</w:t>
      </w:r>
      <w:r w:rsidR="008D6A57" w:rsidRPr="00D04BDF">
        <w:rPr>
          <w:rFonts w:ascii="Verdana" w:hAnsi="Verdana"/>
          <w:sz w:val="24"/>
          <w:szCs w:val="24"/>
        </w:rPr>
        <w:t xml:space="preserve"> by the Tribunal to the effect.</w:t>
      </w:r>
      <w:r w:rsidR="00536A3A" w:rsidRPr="00D04BDF">
        <w:rPr>
          <w:rFonts w:ascii="Verdana" w:hAnsi="Verdana"/>
          <w:sz w:val="24"/>
          <w:szCs w:val="24"/>
        </w:rPr>
        <w:t xml:space="preserve"> that the humble petitioner</w:t>
      </w:r>
      <w:r w:rsidR="008D6A57" w:rsidRPr="00D04BDF">
        <w:rPr>
          <w:rFonts w:ascii="Verdana" w:hAnsi="Verdana"/>
          <w:sz w:val="24"/>
          <w:szCs w:val="24"/>
        </w:rPr>
        <w:t xml:space="preserve"> appears to have dropped the proceedings initiated pursuant to the order dated 30/03/2012 of the Tribunal in ITA No. 1285/Mumbai/2010 (Exhibit-B).In reality, the matter was not pursued in deference to, as the matter was pending before this Honourable Court in ITXA 1041 of 2012 and W.P 1898 of 2012</w:t>
      </w:r>
      <w:r w:rsidR="005121DB" w:rsidRPr="00D04BDF">
        <w:rPr>
          <w:rFonts w:ascii="Verdana" w:hAnsi="Verdana"/>
          <w:sz w:val="24"/>
          <w:szCs w:val="24"/>
        </w:rPr>
        <w:t xml:space="preserve"> and there was no order passed by this humble petitioner dropping the proceedings which fact would be evident from a reading in Para (12.vi) ,Page (26) of the order dated 28/03/2019 passed by the CIT</w:t>
      </w:r>
      <w:r w:rsidR="00E3072B" w:rsidRPr="00D04BDF">
        <w:rPr>
          <w:rFonts w:ascii="Verdana" w:hAnsi="Verdana"/>
          <w:sz w:val="24"/>
          <w:szCs w:val="24"/>
        </w:rPr>
        <w:t xml:space="preserve"> (Exhibit-H).</w:t>
      </w:r>
    </w:p>
    <w:p w:rsidR="00774962" w:rsidRPr="00774962" w:rsidRDefault="00774962" w:rsidP="00774962">
      <w:pPr>
        <w:pStyle w:val="ListParagraph"/>
        <w:rPr>
          <w:rFonts w:ascii="Verdana" w:hAnsi="Verdana"/>
          <w:sz w:val="24"/>
          <w:szCs w:val="24"/>
        </w:rPr>
      </w:pPr>
    </w:p>
    <w:p w:rsidR="004C2C07" w:rsidRDefault="00774962" w:rsidP="00774962">
      <w:pPr>
        <w:pStyle w:val="ListParagraph"/>
        <w:numPr>
          <w:ilvl w:val="0"/>
          <w:numId w:val="1"/>
        </w:numPr>
        <w:rPr>
          <w:rFonts w:ascii="Verdana" w:hAnsi="Verdana"/>
          <w:sz w:val="24"/>
          <w:szCs w:val="24"/>
        </w:rPr>
      </w:pPr>
      <w:r>
        <w:rPr>
          <w:rFonts w:ascii="Verdana" w:hAnsi="Verdana"/>
          <w:sz w:val="24"/>
          <w:szCs w:val="24"/>
        </w:rPr>
        <w:lastRenderedPageBreak/>
        <w:t xml:space="preserve">It appears strange that though reference to the earlier order dated 30/03/2012 (Exhibit-B) is made in the later order dated 02/11/2021 (Exhibit-I) but there is not a single whisper about the pending matters in ITXA 1041 of 204 and W.P No 1898 of 2014 arising against that order of 30/03/2012. Neither the respondent No.2 herein thought </w:t>
      </w:r>
      <w:proofErr w:type="gramStart"/>
      <w:r>
        <w:rPr>
          <w:rFonts w:ascii="Verdana" w:hAnsi="Verdana"/>
          <w:sz w:val="24"/>
          <w:szCs w:val="24"/>
        </w:rPr>
        <w:t>it fit</w:t>
      </w:r>
      <w:proofErr w:type="gramEnd"/>
      <w:r>
        <w:rPr>
          <w:rFonts w:ascii="Verdana" w:hAnsi="Verdana"/>
          <w:sz w:val="24"/>
          <w:szCs w:val="24"/>
        </w:rPr>
        <w:t xml:space="preserve"> to inform the T</w:t>
      </w:r>
      <w:r w:rsidR="00D252B0">
        <w:rPr>
          <w:rFonts w:ascii="Verdana" w:hAnsi="Verdana"/>
          <w:sz w:val="24"/>
          <w:szCs w:val="24"/>
        </w:rPr>
        <w:t>ribunal about this nor</w:t>
      </w:r>
      <w:r>
        <w:rPr>
          <w:rFonts w:ascii="Verdana" w:hAnsi="Verdana"/>
          <w:sz w:val="24"/>
          <w:szCs w:val="24"/>
        </w:rPr>
        <w:t xml:space="preserve"> the Tribunal made any enquiry </w:t>
      </w:r>
      <w:r w:rsidR="00D252B0">
        <w:rPr>
          <w:rFonts w:ascii="Verdana" w:hAnsi="Verdana"/>
          <w:sz w:val="24"/>
          <w:szCs w:val="24"/>
        </w:rPr>
        <w:t>about the fate of the order dated 30/03/2012.</w:t>
      </w:r>
      <w:r>
        <w:rPr>
          <w:rFonts w:ascii="Verdana" w:hAnsi="Verdana"/>
          <w:sz w:val="24"/>
          <w:szCs w:val="24"/>
        </w:rPr>
        <w:t xml:space="preserve"> </w:t>
      </w:r>
    </w:p>
    <w:p w:rsidR="00774962" w:rsidRDefault="00774962" w:rsidP="004C2C07">
      <w:pPr>
        <w:pStyle w:val="ListParagraph"/>
        <w:rPr>
          <w:rFonts w:ascii="Verdana" w:hAnsi="Verdana"/>
          <w:sz w:val="24"/>
          <w:szCs w:val="24"/>
        </w:rPr>
      </w:pPr>
    </w:p>
    <w:p w:rsidR="008D6A57" w:rsidRDefault="004C2C07" w:rsidP="004C2C07">
      <w:pPr>
        <w:pStyle w:val="ListParagraph"/>
        <w:numPr>
          <w:ilvl w:val="0"/>
          <w:numId w:val="1"/>
        </w:numPr>
        <w:rPr>
          <w:rFonts w:ascii="Verdana" w:hAnsi="Verdana"/>
          <w:sz w:val="24"/>
          <w:szCs w:val="24"/>
        </w:rPr>
      </w:pPr>
      <w:r>
        <w:rPr>
          <w:rFonts w:ascii="Verdana" w:hAnsi="Verdana"/>
          <w:sz w:val="24"/>
          <w:szCs w:val="24"/>
        </w:rPr>
        <w:t>In this backdrop, it was natural that after having recorded such findings in the order dated 02/11/2021, the Tribunal while hearing the present appeals listed in Exhibit- K to the present petition is bound to follow the decision given in their order dated 02/11/2021 (Exhibit- I)</w:t>
      </w:r>
      <w:r w:rsidR="005121DB" w:rsidRPr="00D04BDF">
        <w:rPr>
          <w:rFonts w:ascii="Verdana" w:hAnsi="Verdana"/>
          <w:sz w:val="24"/>
          <w:szCs w:val="24"/>
        </w:rPr>
        <w:t xml:space="preserve"> </w:t>
      </w:r>
      <w:r>
        <w:rPr>
          <w:rFonts w:ascii="Verdana" w:hAnsi="Verdana"/>
          <w:sz w:val="24"/>
          <w:szCs w:val="24"/>
        </w:rPr>
        <w:t xml:space="preserve">leading to the lack of fair trial to the humble petitioner. </w:t>
      </w:r>
    </w:p>
    <w:p w:rsidR="004C2C07" w:rsidRPr="004C2C07" w:rsidRDefault="004C2C07" w:rsidP="004C2C07">
      <w:pPr>
        <w:pStyle w:val="ListParagraph"/>
        <w:rPr>
          <w:rFonts w:ascii="Verdana" w:hAnsi="Verdana"/>
          <w:sz w:val="24"/>
          <w:szCs w:val="24"/>
        </w:rPr>
      </w:pPr>
    </w:p>
    <w:p w:rsidR="004C2C07" w:rsidRPr="00D04BDF" w:rsidRDefault="004C2C07" w:rsidP="004C2C07">
      <w:pPr>
        <w:pStyle w:val="ListParagraph"/>
        <w:numPr>
          <w:ilvl w:val="0"/>
          <w:numId w:val="1"/>
        </w:numPr>
        <w:rPr>
          <w:rFonts w:ascii="Verdana" w:hAnsi="Verdana"/>
          <w:sz w:val="24"/>
          <w:szCs w:val="24"/>
        </w:rPr>
      </w:pPr>
      <w:r>
        <w:rPr>
          <w:rFonts w:ascii="Verdana" w:hAnsi="Verdana"/>
          <w:sz w:val="24"/>
          <w:szCs w:val="24"/>
        </w:rPr>
        <w:t xml:space="preserve">This is for a further reason that the author of this order dated 02/11/2021 in ITA No 3301/Mumbai/2019 of the Tribunal is sitting on the Bench for </w:t>
      </w:r>
      <w:r w:rsidR="00D252B0">
        <w:rPr>
          <w:rFonts w:ascii="Verdana" w:hAnsi="Verdana"/>
          <w:sz w:val="24"/>
          <w:szCs w:val="24"/>
        </w:rPr>
        <w:t>al</w:t>
      </w:r>
      <w:r>
        <w:rPr>
          <w:rFonts w:ascii="Verdana" w:hAnsi="Verdana"/>
          <w:sz w:val="24"/>
          <w:szCs w:val="24"/>
        </w:rPr>
        <w:t>most</w:t>
      </w:r>
      <w:r w:rsidR="00D252B0">
        <w:rPr>
          <w:rFonts w:ascii="Verdana" w:hAnsi="Verdana"/>
          <w:sz w:val="24"/>
          <w:szCs w:val="24"/>
        </w:rPr>
        <w:t xml:space="preserve"> all</w:t>
      </w:r>
      <w:r>
        <w:rPr>
          <w:rFonts w:ascii="Verdana" w:hAnsi="Verdana"/>
          <w:sz w:val="24"/>
          <w:szCs w:val="24"/>
        </w:rPr>
        <w:t xml:space="preserve"> the </w:t>
      </w:r>
      <w:r w:rsidR="00E83653">
        <w:rPr>
          <w:rFonts w:ascii="Verdana" w:hAnsi="Verdana"/>
          <w:sz w:val="24"/>
          <w:szCs w:val="24"/>
        </w:rPr>
        <w:t>dates</w:t>
      </w:r>
      <w:r>
        <w:rPr>
          <w:rFonts w:ascii="Verdana" w:hAnsi="Verdana"/>
          <w:sz w:val="24"/>
          <w:szCs w:val="24"/>
        </w:rPr>
        <w:t xml:space="preserve"> while th</w:t>
      </w:r>
      <w:r w:rsidR="004A57A1">
        <w:rPr>
          <w:rFonts w:ascii="Verdana" w:hAnsi="Verdana"/>
          <w:sz w:val="24"/>
          <w:szCs w:val="24"/>
        </w:rPr>
        <w:t>ese</w:t>
      </w:r>
      <w:r>
        <w:rPr>
          <w:rFonts w:ascii="Verdana" w:hAnsi="Verdana"/>
          <w:sz w:val="24"/>
          <w:szCs w:val="24"/>
        </w:rPr>
        <w:t xml:space="preserve"> </w:t>
      </w:r>
      <w:r w:rsidR="004A57A1">
        <w:rPr>
          <w:rFonts w:ascii="Verdana" w:hAnsi="Verdana"/>
          <w:sz w:val="24"/>
          <w:szCs w:val="24"/>
        </w:rPr>
        <w:t>appeals were listed for hearing</w:t>
      </w:r>
      <w:r w:rsidR="00D252B0">
        <w:rPr>
          <w:rFonts w:ascii="Verdana" w:hAnsi="Verdana"/>
          <w:sz w:val="24"/>
          <w:szCs w:val="24"/>
        </w:rPr>
        <w:t xml:space="preserve"> in the concerned Bench</w:t>
      </w:r>
      <w:r>
        <w:rPr>
          <w:rFonts w:ascii="Verdana" w:hAnsi="Verdana"/>
          <w:sz w:val="24"/>
          <w:szCs w:val="24"/>
        </w:rPr>
        <w:t xml:space="preserve"> and it is he who</w:t>
      </w:r>
      <w:r w:rsidR="004A57A1">
        <w:rPr>
          <w:rFonts w:ascii="Verdana" w:hAnsi="Verdana"/>
          <w:sz w:val="24"/>
          <w:szCs w:val="24"/>
        </w:rPr>
        <w:t xml:space="preserve"> himself makes the constitution of</w:t>
      </w:r>
      <w:r>
        <w:rPr>
          <w:rFonts w:ascii="Verdana" w:hAnsi="Verdana"/>
          <w:sz w:val="24"/>
          <w:szCs w:val="24"/>
        </w:rPr>
        <w:t xml:space="preserve"> the Benches</w:t>
      </w:r>
      <w:r w:rsidR="004A57A1">
        <w:rPr>
          <w:rFonts w:ascii="Verdana" w:hAnsi="Verdana"/>
          <w:sz w:val="24"/>
          <w:szCs w:val="24"/>
        </w:rPr>
        <w:t xml:space="preserve"> in Mumbai</w:t>
      </w:r>
      <w:r>
        <w:rPr>
          <w:rFonts w:ascii="Verdana" w:hAnsi="Verdana"/>
          <w:sz w:val="24"/>
          <w:szCs w:val="24"/>
        </w:rPr>
        <w:t xml:space="preserve"> as Vice-President of the Tribunal. </w:t>
      </w:r>
      <w:r w:rsidR="00D252B0">
        <w:rPr>
          <w:rFonts w:ascii="Verdana" w:hAnsi="Verdana"/>
          <w:sz w:val="24"/>
          <w:szCs w:val="24"/>
        </w:rPr>
        <w:t>Evidence</w:t>
      </w:r>
      <w:r>
        <w:rPr>
          <w:rFonts w:ascii="Verdana" w:hAnsi="Verdana"/>
          <w:sz w:val="24"/>
          <w:szCs w:val="24"/>
        </w:rPr>
        <w:t xml:space="preserve"> to this effect would be </w:t>
      </w:r>
      <w:r w:rsidR="00893F2C">
        <w:rPr>
          <w:rFonts w:ascii="Verdana" w:hAnsi="Verdana"/>
          <w:sz w:val="24"/>
          <w:szCs w:val="24"/>
        </w:rPr>
        <w:t xml:space="preserve">furnished if asked for by </w:t>
      </w:r>
      <w:r w:rsidR="004A57A1">
        <w:rPr>
          <w:rFonts w:ascii="Verdana" w:hAnsi="Verdana"/>
          <w:sz w:val="24"/>
          <w:szCs w:val="24"/>
        </w:rPr>
        <w:t xml:space="preserve">the </w:t>
      </w:r>
      <w:r w:rsidR="00893F2C">
        <w:rPr>
          <w:rFonts w:ascii="Verdana" w:hAnsi="Verdana"/>
          <w:sz w:val="24"/>
          <w:szCs w:val="24"/>
        </w:rPr>
        <w:t>Honourable Court.</w:t>
      </w:r>
    </w:p>
    <w:p w:rsidR="008D6A57" w:rsidRPr="008D6A57" w:rsidRDefault="008D6A57" w:rsidP="008D6A57">
      <w:pPr>
        <w:pStyle w:val="ListParagraph"/>
        <w:rPr>
          <w:rFonts w:ascii="Verdana" w:hAnsi="Verdana"/>
          <w:sz w:val="24"/>
          <w:szCs w:val="24"/>
        </w:rPr>
      </w:pPr>
    </w:p>
    <w:p w:rsidR="003F327D" w:rsidRDefault="00784564" w:rsidP="00784564">
      <w:pPr>
        <w:rPr>
          <w:rFonts w:ascii="Verdana" w:hAnsi="Verdana"/>
          <w:sz w:val="24"/>
          <w:szCs w:val="24"/>
        </w:rPr>
      </w:pPr>
      <w:r>
        <w:rPr>
          <w:rFonts w:ascii="Verdana" w:hAnsi="Verdana"/>
          <w:sz w:val="24"/>
          <w:szCs w:val="24"/>
        </w:rPr>
        <w:t>D.</w:t>
      </w:r>
      <w:r w:rsidR="003F327D">
        <w:rPr>
          <w:rFonts w:ascii="Verdana" w:hAnsi="Verdana"/>
          <w:sz w:val="24"/>
          <w:szCs w:val="24"/>
        </w:rPr>
        <w:t xml:space="preserve"> </w:t>
      </w:r>
      <w:r>
        <w:rPr>
          <w:rFonts w:ascii="Verdana" w:hAnsi="Verdana"/>
          <w:sz w:val="24"/>
          <w:szCs w:val="24"/>
        </w:rPr>
        <w:t xml:space="preserve">The </w:t>
      </w:r>
      <w:r w:rsidR="003F327D">
        <w:rPr>
          <w:rFonts w:ascii="Verdana" w:hAnsi="Verdana"/>
          <w:sz w:val="24"/>
          <w:szCs w:val="24"/>
        </w:rPr>
        <w:t>respondent</w:t>
      </w:r>
      <w:r>
        <w:rPr>
          <w:rFonts w:ascii="Verdana" w:hAnsi="Verdana"/>
          <w:sz w:val="24"/>
          <w:szCs w:val="24"/>
        </w:rPr>
        <w:t xml:space="preserve"> No. 2 has contended that the jurisdiction of the Tribunal is not challenged in the petition which is not correct as the humble petitioner submits that decision of this Honourable </w:t>
      </w:r>
      <w:r w:rsidR="003F327D">
        <w:rPr>
          <w:rFonts w:ascii="Verdana" w:hAnsi="Verdana"/>
          <w:sz w:val="24"/>
          <w:szCs w:val="24"/>
        </w:rPr>
        <w:t>court in</w:t>
      </w:r>
      <w:r>
        <w:rPr>
          <w:rFonts w:ascii="Verdana" w:hAnsi="Verdana"/>
          <w:sz w:val="24"/>
          <w:szCs w:val="24"/>
        </w:rPr>
        <w:t xml:space="preserve"> ITXA 1041 of 2012 and W.P No 1898 of 2014 would have and has direct bearing on any outcome of these appeals</w:t>
      </w:r>
      <w:r w:rsidR="003F327D">
        <w:rPr>
          <w:rFonts w:ascii="Verdana" w:hAnsi="Verdana"/>
          <w:sz w:val="24"/>
          <w:szCs w:val="24"/>
        </w:rPr>
        <w:t xml:space="preserve"> as issue of registration is fundamental</w:t>
      </w:r>
      <w:r>
        <w:rPr>
          <w:rFonts w:ascii="Verdana" w:hAnsi="Verdana"/>
          <w:sz w:val="24"/>
          <w:szCs w:val="24"/>
        </w:rPr>
        <w:t xml:space="preserve"> in these appeals</w:t>
      </w:r>
      <w:r w:rsidR="003F327D">
        <w:rPr>
          <w:rFonts w:ascii="Verdana" w:hAnsi="Verdana"/>
          <w:sz w:val="24"/>
          <w:szCs w:val="24"/>
        </w:rPr>
        <w:t xml:space="preserve"> being the initial assessment year 2007-08 wherein this issue of registration under section 12A of the Act is germane</w:t>
      </w:r>
      <w:r>
        <w:rPr>
          <w:rFonts w:ascii="Verdana" w:hAnsi="Verdana"/>
          <w:sz w:val="24"/>
          <w:szCs w:val="24"/>
        </w:rPr>
        <w:t xml:space="preserve"> </w:t>
      </w:r>
      <w:r w:rsidR="003F327D">
        <w:rPr>
          <w:rFonts w:ascii="Verdana" w:hAnsi="Verdana"/>
          <w:sz w:val="24"/>
          <w:szCs w:val="24"/>
        </w:rPr>
        <w:t xml:space="preserve">and with this plea the petitioner challenges the jurisdiction of the Tribunal to hear and decide the appeals and unless this Honourable Court decides this issue, no effective hearing of these appeals can take place. The Special Counsel in his first appearance before the Tribunal in these appeals pointed out this fact which unfortunately was </w:t>
      </w:r>
      <w:proofErr w:type="spellStart"/>
      <w:r w:rsidR="003F327D">
        <w:rPr>
          <w:rFonts w:ascii="Verdana" w:hAnsi="Verdana"/>
          <w:sz w:val="24"/>
          <w:szCs w:val="24"/>
        </w:rPr>
        <w:t>negatived</w:t>
      </w:r>
      <w:proofErr w:type="spellEnd"/>
      <w:r w:rsidR="003F327D">
        <w:rPr>
          <w:rFonts w:ascii="Verdana" w:hAnsi="Verdana"/>
          <w:sz w:val="24"/>
          <w:szCs w:val="24"/>
        </w:rPr>
        <w:t xml:space="preserve"> by the Tribunal.</w:t>
      </w:r>
    </w:p>
    <w:p w:rsidR="00E759A8" w:rsidRDefault="003F327D" w:rsidP="00784564">
      <w:pPr>
        <w:rPr>
          <w:rFonts w:ascii="Verdana" w:hAnsi="Verdana"/>
          <w:sz w:val="24"/>
          <w:szCs w:val="24"/>
        </w:rPr>
      </w:pPr>
      <w:r>
        <w:rPr>
          <w:rFonts w:ascii="Verdana" w:hAnsi="Verdana"/>
          <w:sz w:val="24"/>
          <w:szCs w:val="24"/>
        </w:rPr>
        <w:t xml:space="preserve">E. The CIT decided  </w:t>
      </w:r>
      <w:r w:rsidR="000312C4" w:rsidRPr="00784564">
        <w:rPr>
          <w:rFonts w:ascii="Verdana" w:hAnsi="Verdana"/>
          <w:sz w:val="24"/>
          <w:szCs w:val="24"/>
        </w:rPr>
        <w:t xml:space="preserve"> </w:t>
      </w:r>
      <w:r w:rsidR="00744C31">
        <w:rPr>
          <w:rFonts w:ascii="Verdana" w:hAnsi="Verdana"/>
          <w:sz w:val="24"/>
          <w:szCs w:val="24"/>
        </w:rPr>
        <w:t xml:space="preserve">the application made under section 12A (1) (ab) filed on 15/09/2018 wherein the applicant, that is respondent No.2, disclosed in Form No. 10A read with Rules 17A of the IT Rules, 1962 (“the Rules”) the date of original registration as being 12/02/1996 and the date of </w:t>
      </w:r>
      <w:r w:rsidR="00744C31">
        <w:rPr>
          <w:rFonts w:ascii="Verdana" w:hAnsi="Verdana"/>
          <w:sz w:val="24"/>
          <w:szCs w:val="24"/>
        </w:rPr>
        <w:lastRenderedPageBreak/>
        <w:t>modification of objects was shown as 21/08/2018. The dispute regarding registration under section 12A of the Act</w:t>
      </w:r>
      <w:r w:rsidR="008300A7">
        <w:rPr>
          <w:rFonts w:ascii="Verdana" w:hAnsi="Verdana"/>
          <w:sz w:val="24"/>
          <w:szCs w:val="24"/>
        </w:rPr>
        <w:t xml:space="preserve"> </w:t>
      </w:r>
      <w:r w:rsidR="00744C31">
        <w:rPr>
          <w:rFonts w:ascii="Verdana" w:hAnsi="Verdana"/>
          <w:sz w:val="24"/>
          <w:szCs w:val="24"/>
        </w:rPr>
        <w:t>however related to the changes made in the years 2006 and 2007 which was pending before this Honourable Court in ITXA 1041 of 2012 and W.P No 1898 of 2012.</w:t>
      </w:r>
      <w:r w:rsidR="00E759A8">
        <w:rPr>
          <w:rFonts w:ascii="Verdana" w:hAnsi="Verdana"/>
          <w:sz w:val="24"/>
          <w:szCs w:val="24"/>
        </w:rPr>
        <w:t xml:space="preserve"> The CIT in Para (12.vi) at Page (26) clearly stated, inter-alia, as under:</w:t>
      </w:r>
    </w:p>
    <w:p w:rsidR="00AD1472" w:rsidRDefault="008300A7" w:rsidP="00AD1472">
      <w:pPr>
        <w:ind w:firstLine="720"/>
        <w:rPr>
          <w:rFonts w:ascii="Verdana" w:hAnsi="Verdana"/>
          <w:i/>
          <w:sz w:val="24"/>
          <w:szCs w:val="24"/>
        </w:rPr>
      </w:pPr>
      <w:r w:rsidRPr="00A22573">
        <w:rPr>
          <w:rFonts w:ascii="Verdana" w:hAnsi="Verdana"/>
          <w:i/>
          <w:sz w:val="24"/>
          <w:szCs w:val="24"/>
        </w:rPr>
        <w:t>“It</w:t>
      </w:r>
      <w:r w:rsidR="00E759A8" w:rsidRPr="00A22573">
        <w:rPr>
          <w:rFonts w:ascii="Verdana" w:hAnsi="Verdana"/>
          <w:i/>
          <w:sz w:val="24"/>
          <w:szCs w:val="24"/>
        </w:rPr>
        <w:t xml:space="preserve"> was only when it became mandatory </w:t>
      </w:r>
      <w:proofErr w:type="spellStart"/>
      <w:r w:rsidR="00E759A8" w:rsidRPr="00A22573">
        <w:rPr>
          <w:rFonts w:ascii="Verdana" w:hAnsi="Verdana"/>
          <w:i/>
          <w:sz w:val="24"/>
          <w:szCs w:val="24"/>
        </w:rPr>
        <w:t>w.e.f</w:t>
      </w:r>
      <w:proofErr w:type="spellEnd"/>
      <w:r w:rsidR="00E759A8" w:rsidRPr="00A22573">
        <w:rPr>
          <w:rFonts w:ascii="Verdana" w:hAnsi="Verdana"/>
          <w:i/>
          <w:sz w:val="24"/>
          <w:szCs w:val="24"/>
        </w:rPr>
        <w:t xml:space="preserve"> 01/04/2018 with the introduction of section 12A</w:t>
      </w:r>
      <w:r>
        <w:rPr>
          <w:rFonts w:ascii="Verdana" w:hAnsi="Verdana"/>
          <w:i/>
          <w:sz w:val="24"/>
          <w:szCs w:val="24"/>
        </w:rPr>
        <w:t xml:space="preserve"> </w:t>
      </w:r>
      <w:r w:rsidR="00E759A8" w:rsidRPr="00A22573">
        <w:rPr>
          <w:rFonts w:ascii="Verdana" w:hAnsi="Verdana"/>
          <w:i/>
          <w:sz w:val="24"/>
          <w:szCs w:val="24"/>
        </w:rPr>
        <w:t>(1</w:t>
      </w:r>
      <w:proofErr w:type="gramStart"/>
      <w:r w:rsidR="00E759A8" w:rsidRPr="00A22573">
        <w:rPr>
          <w:rFonts w:ascii="Verdana" w:hAnsi="Verdana"/>
          <w:i/>
          <w:sz w:val="24"/>
          <w:szCs w:val="24"/>
        </w:rPr>
        <w:t>)(</w:t>
      </w:r>
      <w:proofErr w:type="gramEnd"/>
      <w:r w:rsidR="00E759A8" w:rsidRPr="00A22573">
        <w:rPr>
          <w:rFonts w:ascii="Verdana" w:hAnsi="Verdana"/>
          <w:i/>
          <w:sz w:val="24"/>
          <w:szCs w:val="24"/>
        </w:rPr>
        <w:t>ab), to apply for registration consequent to modifications of the objects  which do not conform to the (earlier) registration, that this application was filed. Since the matter of earlier modification is not before me for consideration, I am taking the original MOA and rules and regulations registered in 1996 as reference for examining the modification of MOA</w:t>
      </w:r>
      <w:r w:rsidR="00A22573" w:rsidRPr="00A22573">
        <w:rPr>
          <w:rFonts w:ascii="Verdana" w:hAnsi="Verdana"/>
          <w:i/>
          <w:sz w:val="24"/>
          <w:szCs w:val="24"/>
        </w:rPr>
        <w:t xml:space="preserve"> and rules and regulations as per its application u/s 12A (1)(ab).”</w:t>
      </w:r>
    </w:p>
    <w:p w:rsidR="00AD1472" w:rsidRDefault="00AD1472" w:rsidP="00AD1472">
      <w:pPr>
        <w:rPr>
          <w:rFonts w:ascii="Verdana" w:hAnsi="Verdana"/>
          <w:i/>
          <w:sz w:val="24"/>
          <w:szCs w:val="24"/>
        </w:rPr>
      </w:pPr>
    </w:p>
    <w:p w:rsidR="00B83487" w:rsidRDefault="00B83487" w:rsidP="00AD1472">
      <w:pPr>
        <w:rPr>
          <w:rFonts w:ascii="Verdana" w:hAnsi="Verdana"/>
          <w:sz w:val="24"/>
          <w:szCs w:val="24"/>
        </w:rPr>
      </w:pPr>
      <w:r>
        <w:rPr>
          <w:rFonts w:ascii="Verdana" w:hAnsi="Verdana"/>
          <w:sz w:val="24"/>
          <w:szCs w:val="24"/>
        </w:rPr>
        <w:t>F. Para-wise comments on affidavit-in-reply are given as under:</w:t>
      </w:r>
    </w:p>
    <w:p w:rsidR="000312C4" w:rsidRPr="00AD1472" w:rsidRDefault="00B83487" w:rsidP="00AD1472">
      <w:pPr>
        <w:rPr>
          <w:rFonts w:ascii="Verdana" w:hAnsi="Verdana"/>
          <w:i/>
          <w:sz w:val="24"/>
          <w:szCs w:val="24"/>
        </w:rPr>
      </w:pPr>
      <w:r>
        <w:rPr>
          <w:rFonts w:ascii="Verdana" w:hAnsi="Verdana"/>
          <w:sz w:val="24"/>
          <w:szCs w:val="24"/>
        </w:rPr>
        <w:t>(</w:t>
      </w:r>
      <w:proofErr w:type="gramStart"/>
      <w:r>
        <w:rPr>
          <w:rFonts w:ascii="Verdana" w:hAnsi="Verdana"/>
          <w:sz w:val="24"/>
          <w:szCs w:val="24"/>
        </w:rPr>
        <w:t>i</w:t>
      </w:r>
      <w:proofErr w:type="gramEnd"/>
      <w:r>
        <w:rPr>
          <w:rFonts w:ascii="Verdana" w:hAnsi="Verdana"/>
          <w:sz w:val="24"/>
          <w:szCs w:val="24"/>
        </w:rPr>
        <w:t xml:space="preserve">)  </w:t>
      </w:r>
      <w:bookmarkStart w:id="0" w:name="_GoBack"/>
      <w:bookmarkEnd w:id="0"/>
      <w:r w:rsidR="00E759A8" w:rsidRPr="00A22573">
        <w:rPr>
          <w:rFonts w:ascii="Verdana" w:hAnsi="Verdana"/>
          <w:i/>
          <w:sz w:val="24"/>
          <w:szCs w:val="24"/>
        </w:rPr>
        <w:t xml:space="preserve">    </w:t>
      </w:r>
      <w:r w:rsidR="00744C31" w:rsidRPr="00A22573">
        <w:rPr>
          <w:rFonts w:ascii="Verdana" w:hAnsi="Verdana"/>
          <w:sz w:val="24"/>
          <w:szCs w:val="24"/>
        </w:rPr>
        <w:t xml:space="preserve">  </w:t>
      </w:r>
    </w:p>
    <w:p w:rsidR="000312C4" w:rsidRPr="00A22573" w:rsidRDefault="000312C4" w:rsidP="000312C4">
      <w:pPr>
        <w:rPr>
          <w:rFonts w:ascii="Verdana" w:hAnsi="Verdana"/>
          <w:sz w:val="24"/>
          <w:szCs w:val="24"/>
        </w:rPr>
      </w:pPr>
    </w:p>
    <w:p w:rsidR="000312C4" w:rsidRPr="000312C4" w:rsidRDefault="000312C4" w:rsidP="000312C4">
      <w:pPr>
        <w:rPr>
          <w:rFonts w:ascii="Verdana" w:hAnsi="Verdana"/>
          <w:sz w:val="24"/>
          <w:szCs w:val="24"/>
        </w:rPr>
      </w:pPr>
    </w:p>
    <w:p w:rsidR="000312C4" w:rsidRPr="000312C4" w:rsidRDefault="000312C4" w:rsidP="000312C4">
      <w:pPr>
        <w:rPr>
          <w:rFonts w:ascii="Verdana" w:hAnsi="Verdana"/>
          <w:sz w:val="24"/>
          <w:szCs w:val="24"/>
        </w:rPr>
      </w:pPr>
    </w:p>
    <w:p w:rsidR="000312C4" w:rsidRDefault="000312C4" w:rsidP="000312C4">
      <w:pPr>
        <w:rPr>
          <w:rFonts w:ascii="Verdana" w:hAnsi="Verdana"/>
          <w:sz w:val="24"/>
          <w:szCs w:val="24"/>
        </w:rPr>
      </w:pPr>
    </w:p>
    <w:p w:rsidR="0061485E" w:rsidRPr="000312C4" w:rsidRDefault="000312C4" w:rsidP="000312C4">
      <w:pPr>
        <w:tabs>
          <w:tab w:val="left" w:pos="1905"/>
        </w:tabs>
        <w:rPr>
          <w:rFonts w:ascii="Verdana" w:hAnsi="Verdana"/>
          <w:sz w:val="24"/>
          <w:szCs w:val="24"/>
        </w:rPr>
      </w:pPr>
      <w:r>
        <w:rPr>
          <w:rFonts w:ascii="Verdana" w:hAnsi="Verdana"/>
          <w:sz w:val="24"/>
          <w:szCs w:val="24"/>
        </w:rPr>
        <w:tab/>
      </w:r>
    </w:p>
    <w:sectPr w:rsidR="0061485E" w:rsidRPr="000312C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DCD" w:rsidRDefault="006D1DCD" w:rsidP="00BA41EF">
      <w:pPr>
        <w:spacing w:after="0" w:line="240" w:lineRule="auto"/>
      </w:pPr>
      <w:r>
        <w:separator/>
      </w:r>
    </w:p>
  </w:endnote>
  <w:endnote w:type="continuationSeparator" w:id="0">
    <w:p w:rsidR="006D1DCD" w:rsidRDefault="006D1DCD" w:rsidP="00BA4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566695"/>
      <w:docPartObj>
        <w:docPartGallery w:val="Page Numbers (Bottom of Page)"/>
        <w:docPartUnique/>
      </w:docPartObj>
    </w:sdtPr>
    <w:sdtEndPr>
      <w:rPr>
        <w:noProof/>
      </w:rPr>
    </w:sdtEndPr>
    <w:sdtContent>
      <w:p w:rsidR="00BA41EF" w:rsidRDefault="00BA41EF">
        <w:pPr>
          <w:pStyle w:val="Footer"/>
          <w:jc w:val="center"/>
        </w:pPr>
        <w:r>
          <w:fldChar w:fldCharType="begin"/>
        </w:r>
        <w:r>
          <w:instrText xml:space="preserve"> PAGE   \* MERGEFORMAT </w:instrText>
        </w:r>
        <w:r>
          <w:fldChar w:fldCharType="separate"/>
        </w:r>
        <w:r w:rsidR="00B83487">
          <w:rPr>
            <w:noProof/>
          </w:rPr>
          <w:t>4</w:t>
        </w:r>
        <w:r>
          <w:rPr>
            <w:noProof/>
          </w:rPr>
          <w:fldChar w:fldCharType="end"/>
        </w:r>
      </w:p>
    </w:sdtContent>
  </w:sdt>
  <w:p w:rsidR="00BA41EF" w:rsidRDefault="00BA4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DCD" w:rsidRDefault="006D1DCD" w:rsidP="00BA41EF">
      <w:pPr>
        <w:spacing w:after="0" w:line="240" w:lineRule="auto"/>
      </w:pPr>
      <w:r>
        <w:separator/>
      </w:r>
    </w:p>
  </w:footnote>
  <w:footnote w:type="continuationSeparator" w:id="0">
    <w:p w:rsidR="006D1DCD" w:rsidRDefault="006D1DCD" w:rsidP="00BA4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27294"/>
    <w:multiLevelType w:val="hybridMultilevel"/>
    <w:tmpl w:val="6E7AC6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003EA5"/>
    <w:multiLevelType w:val="hybridMultilevel"/>
    <w:tmpl w:val="67963BD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DF"/>
    <w:rsid w:val="000312C4"/>
    <w:rsid w:val="00094CEF"/>
    <w:rsid w:val="002104E5"/>
    <w:rsid w:val="003F327D"/>
    <w:rsid w:val="004A57A1"/>
    <w:rsid w:val="004C2C07"/>
    <w:rsid w:val="005121DB"/>
    <w:rsid w:val="00536A3A"/>
    <w:rsid w:val="00545F80"/>
    <w:rsid w:val="00581408"/>
    <w:rsid w:val="0061485E"/>
    <w:rsid w:val="006D1DCD"/>
    <w:rsid w:val="00744C31"/>
    <w:rsid w:val="00774962"/>
    <w:rsid w:val="00784564"/>
    <w:rsid w:val="007C61BD"/>
    <w:rsid w:val="008300A7"/>
    <w:rsid w:val="00893F2C"/>
    <w:rsid w:val="008D6A57"/>
    <w:rsid w:val="00A22573"/>
    <w:rsid w:val="00AD1472"/>
    <w:rsid w:val="00AF2912"/>
    <w:rsid w:val="00B360AA"/>
    <w:rsid w:val="00B83487"/>
    <w:rsid w:val="00B8620F"/>
    <w:rsid w:val="00BA41EF"/>
    <w:rsid w:val="00BE22E2"/>
    <w:rsid w:val="00C02594"/>
    <w:rsid w:val="00D04BDF"/>
    <w:rsid w:val="00D252B0"/>
    <w:rsid w:val="00DE6D6F"/>
    <w:rsid w:val="00E27940"/>
    <w:rsid w:val="00E3072B"/>
    <w:rsid w:val="00E759A8"/>
    <w:rsid w:val="00E83653"/>
    <w:rsid w:val="00EF59E2"/>
    <w:rsid w:val="00F75F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912"/>
    <w:pPr>
      <w:ind w:left="720"/>
      <w:contextualSpacing/>
    </w:pPr>
  </w:style>
  <w:style w:type="paragraph" w:styleId="Header">
    <w:name w:val="header"/>
    <w:basedOn w:val="Normal"/>
    <w:link w:val="HeaderChar"/>
    <w:uiPriority w:val="99"/>
    <w:unhideWhenUsed/>
    <w:rsid w:val="00BA4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1EF"/>
  </w:style>
  <w:style w:type="paragraph" w:styleId="Footer">
    <w:name w:val="footer"/>
    <w:basedOn w:val="Normal"/>
    <w:link w:val="FooterChar"/>
    <w:uiPriority w:val="99"/>
    <w:unhideWhenUsed/>
    <w:rsid w:val="00BA4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1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912"/>
    <w:pPr>
      <w:ind w:left="720"/>
      <w:contextualSpacing/>
    </w:pPr>
  </w:style>
  <w:style w:type="paragraph" w:styleId="Header">
    <w:name w:val="header"/>
    <w:basedOn w:val="Normal"/>
    <w:link w:val="HeaderChar"/>
    <w:uiPriority w:val="99"/>
    <w:unhideWhenUsed/>
    <w:rsid w:val="00BA4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1EF"/>
  </w:style>
  <w:style w:type="paragraph" w:styleId="Footer">
    <w:name w:val="footer"/>
    <w:basedOn w:val="Normal"/>
    <w:link w:val="FooterChar"/>
    <w:uiPriority w:val="99"/>
    <w:unhideWhenUsed/>
    <w:rsid w:val="00BA4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 Dave</cp:lastModifiedBy>
  <cp:revision>18</cp:revision>
  <dcterms:created xsi:type="dcterms:W3CDTF">2022-10-12T06:59:00Z</dcterms:created>
  <dcterms:modified xsi:type="dcterms:W3CDTF">2022-10-12T10:44:00Z</dcterms:modified>
</cp:coreProperties>
</file>