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10141" w14:textId="77777777" w:rsidR="008C6712" w:rsidRDefault="008C6712" w:rsidP="003155C2">
      <w:pPr>
        <w:jc w:val="center"/>
        <w:rPr>
          <w:rFonts w:ascii="Verdana" w:hAnsi="Verdana"/>
          <w:b/>
          <w:sz w:val="24"/>
          <w:szCs w:val="24"/>
        </w:rPr>
      </w:pPr>
    </w:p>
    <w:p w14:paraId="4E479D85" w14:textId="2E0454AB" w:rsidR="00935F1A" w:rsidRPr="003155C2" w:rsidRDefault="003155C2" w:rsidP="003155C2">
      <w:pPr>
        <w:jc w:val="center"/>
        <w:rPr>
          <w:rFonts w:ascii="Verdana" w:hAnsi="Verdana"/>
          <w:b/>
          <w:sz w:val="24"/>
          <w:szCs w:val="24"/>
        </w:rPr>
      </w:pPr>
      <w:r w:rsidRPr="003155C2">
        <w:rPr>
          <w:rFonts w:ascii="Verdana" w:hAnsi="Verdana"/>
          <w:b/>
          <w:sz w:val="24"/>
          <w:szCs w:val="24"/>
        </w:rPr>
        <w:t>BEFORE HON’BLE AUTHORITY FOR ADVANCE RULINGS, MUMBAI BENCH</w:t>
      </w:r>
    </w:p>
    <w:p w14:paraId="414B06C5" w14:textId="77777777" w:rsidR="003155C2" w:rsidRPr="003155C2" w:rsidRDefault="003155C2" w:rsidP="003155C2">
      <w:pPr>
        <w:jc w:val="center"/>
        <w:rPr>
          <w:rFonts w:ascii="Verdana" w:hAnsi="Verdana"/>
          <w:b/>
          <w:sz w:val="24"/>
          <w:szCs w:val="24"/>
        </w:rPr>
      </w:pPr>
      <w:r w:rsidRPr="003155C2">
        <w:rPr>
          <w:rFonts w:ascii="Verdana" w:hAnsi="Verdana"/>
          <w:b/>
          <w:sz w:val="24"/>
          <w:szCs w:val="24"/>
        </w:rPr>
        <w:t>APPLICATION Nos. 1373 of 2012 &amp; 1374 of 2012</w:t>
      </w:r>
    </w:p>
    <w:p w14:paraId="2C72C4A5" w14:textId="2A3941DF" w:rsidR="003155C2" w:rsidRDefault="00A56DB7" w:rsidP="003155C2">
      <w:pPr>
        <w:pBdr>
          <w:bottom w:val="single" w:sz="6" w:space="1" w:color="auto"/>
        </w:pBdr>
        <w:jc w:val="center"/>
        <w:rPr>
          <w:rFonts w:ascii="Verdana" w:hAnsi="Verdana"/>
          <w:b/>
          <w:sz w:val="24"/>
          <w:szCs w:val="24"/>
        </w:rPr>
      </w:pPr>
      <w:r>
        <w:rPr>
          <w:rFonts w:ascii="Verdana" w:hAnsi="Verdana"/>
          <w:b/>
          <w:sz w:val="24"/>
          <w:szCs w:val="24"/>
        </w:rPr>
        <w:t xml:space="preserve">Applicants: </w:t>
      </w:r>
      <w:r w:rsidR="003155C2" w:rsidRPr="003155C2">
        <w:rPr>
          <w:rFonts w:ascii="Verdana" w:hAnsi="Verdana"/>
          <w:b/>
          <w:sz w:val="24"/>
          <w:szCs w:val="24"/>
        </w:rPr>
        <w:t>M/s Essar Communications Ltd. &amp; M/s Essar Com Ltd.</w:t>
      </w:r>
    </w:p>
    <w:p w14:paraId="0C092FF8" w14:textId="4741E0F1" w:rsidR="001F441C" w:rsidRDefault="009E299A" w:rsidP="009E299A">
      <w:pPr>
        <w:ind w:left="1080"/>
        <w:rPr>
          <w:rFonts w:ascii="Verdana" w:hAnsi="Verdana"/>
          <w:sz w:val="24"/>
          <w:szCs w:val="24"/>
        </w:rPr>
      </w:pPr>
      <w:r>
        <w:rPr>
          <w:rFonts w:ascii="Verdana" w:hAnsi="Verdana"/>
          <w:sz w:val="24"/>
          <w:szCs w:val="24"/>
        </w:rPr>
        <w:t>Following</w:t>
      </w:r>
      <w:r w:rsidR="007E58B2">
        <w:rPr>
          <w:rFonts w:ascii="Verdana" w:hAnsi="Verdana"/>
          <w:sz w:val="24"/>
          <w:szCs w:val="24"/>
        </w:rPr>
        <w:t xml:space="preserve"> issues</w:t>
      </w:r>
      <w:r>
        <w:rPr>
          <w:rFonts w:ascii="Verdana" w:hAnsi="Verdana"/>
          <w:sz w:val="24"/>
          <w:szCs w:val="24"/>
        </w:rPr>
        <w:t xml:space="preserve"> </w:t>
      </w:r>
      <w:r w:rsidR="008C6712">
        <w:rPr>
          <w:rFonts w:ascii="Verdana" w:hAnsi="Verdana"/>
          <w:sz w:val="24"/>
          <w:szCs w:val="24"/>
        </w:rPr>
        <w:t>emerge from the order dated 20</w:t>
      </w:r>
      <w:r w:rsidR="008C6712" w:rsidRPr="008C6712">
        <w:rPr>
          <w:rFonts w:ascii="Verdana" w:hAnsi="Verdana"/>
          <w:sz w:val="24"/>
          <w:szCs w:val="24"/>
          <w:vertAlign w:val="superscript"/>
        </w:rPr>
        <w:t>th</w:t>
      </w:r>
      <w:r w:rsidR="008C6712">
        <w:rPr>
          <w:rFonts w:ascii="Verdana" w:hAnsi="Verdana"/>
          <w:sz w:val="24"/>
          <w:szCs w:val="24"/>
        </w:rPr>
        <w:t xml:space="preserve"> July, 2015 passed by Hon’ble Authority under Section 245R (2) of the Income-tax Act, 1961 (hereinafter referred to as “the Act”) &amp; the issues raised by the two applicants in their respective applications. Even the two applicants have addressed the issues by way of common arguments: -</w:t>
      </w:r>
    </w:p>
    <w:p w14:paraId="2132A1F2" w14:textId="4B4FD971" w:rsidR="00234176" w:rsidRDefault="00234176" w:rsidP="00234176">
      <w:pPr>
        <w:ind w:left="1080"/>
        <w:jc w:val="center"/>
        <w:rPr>
          <w:rFonts w:ascii="Verdana" w:hAnsi="Verdana"/>
          <w:b/>
          <w:sz w:val="24"/>
          <w:szCs w:val="24"/>
          <w:u w:val="single"/>
        </w:rPr>
      </w:pPr>
      <w:r w:rsidRPr="00234176">
        <w:rPr>
          <w:rFonts w:ascii="Verdana" w:hAnsi="Verdana"/>
          <w:b/>
          <w:sz w:val="24"/>
          <w:szCs w:val="24"/>
          <w:u w:val="single"/>
        </w:rPr>
        <w:t>Part- A</w:t>
      </w:r>
    </w:p>
    <w:p w14:paraId="358C3F97" w14:textId="42DA90BC" w:rsidR="00B73FA1" w:rsidRPr="00B73FA1" w:rsidRDefault="00B73FA1" w:rsidP="00B73FA1">
      <w:pPr>
        <w:tabs>
          <w:tab w:val="left" w:pos="9000"/>
        </w:tabs>
        <w:ind w:left="1080"/>
        <w:rPr>
          <w:rFonts w:ascii="Verdana" w:hAnsi="Verdana"/>
          <w:sz w:val="24"/>
          <w:szCs w:val="24"/>
        </w:rPr>
      </w:pPr>
      <w:r w:rsidRPr="00B73FA1">
        <w:rPr>
          <w:rFonts w:ascii="Verdana" w:hAnsi="Verdana"/>
          <w:sz w:val="24"/>
          <w:szCs w:val="24"/>
        </w:rPr>
        <w:t xml:space="preserve">This Part </w:t>
      </w:r>
      <w:r>
        <w:rPr>
          <w:rFonts w:ascii="Verdana" w:hAnsi="Verdana"/>
          <w:sz w:val="24"/>
          <w:szCs w:val="24"/>
        </w:rPr>
        <w:t>deals with following aspects involved in the applications:</w:t>
      </w:r>
    </w:p>
    <w:p w14:paraId="6DA63595" w14:textId="77777777" w:rsidR="00570A39" w:rsidRDefault="00491635" w:rsidP="00570A39">
      <w:pPr>
        <w:pStyle w:val="ListParagraph"/>
        <w:numPr>
          <w:ilvl w:val="0"/>
          <w:numId w:val="3"/>
        </w:numPr>
        <w:rPr>
          <w:rFonts w:ascii="Verdana" w:hAnsi="Verdana"/>
          <w:b/>
          <w:sz w:val="24"/>
          <w:szCs w:val="24"/>
        </w:rPr>
      </w:pPr>
      <w:r w:rsidRPr="00B36962">
        <w:rPr>
          <w:rFonts w:ascii="Verdana" w:hAnsi="Verdana"/>
          <w:b/>
          <w:sz w:val="24"/>
          <w:szCs w:val="24"/>
        </w:rPr>
        <w:t>Whether</w:t>
      </w:r>
      <w:r w:rsidR="0043397B" w:rsidRPr="00B36962">
        <w:rPr>
          <w:rFonts w:ascii="Verdana" w:hAnsi="Verdana"/>
          <w:b/>
          <w:sz w:val="24"/>
          <w:szCs w:val="24"/>
        </w:rPr>
        <w:t xml:space="preserve"> the two applicants</w:t>
      </w:r>
      <w:r w:rsidR="00A56DB7" w:rsidRPr="00B36962">
        <w:rPr>
          <w:rFonts w:ascii="Verdana" w:hAnsi="Verdana"/>
          <w:b/>
          <w:sz w:val="24"/>
          <w:szCs w:val="24"/>
        </w:rPr>
        <w:t>, namely, M/s Essar Com Ltd (ECOM, in short) &amp; Essar Communications Ltd (ECL, in short)</w:t>
      </w:r>
      <w:r w:rsidR="0043397B" w:rsidRPr="00B36962">
        <w:rPr>
          <w:rFonts w:ascii="Verdana" w:hAnsi="Verdana"/>
          <w:b/>
          <w:sz w:val="24"/>
          <w:szCs w:val="24"/>
        </w:rPr>
        <w:t xml:space="preserve"> </w:t>
      </w:r>
      <w:r w:rsidR="0043397B" w:rsidRPr="00B36962">
        <w:rPr>
          <w:rFonts w:ascii="Verdana" w:hAnsi="Verdana"/>
          <w:b/>
          <w:color w:val="000000" w:themeColor="text1"/>
          <w:sz w:val="24"/>
          <w:szCs w:val="24"/>
        </w:rPr>
        <w:t>can be allowed</w:t>
      </w:r>
      <w:r w:rsidR="0043397B" w:rsidRPr="00B36962">
        <w:rPr>
          <w:rFonts w:ascii="Verdana" w:hAnsi="Verdana"/>
          <w:b/>
          <w:color w:val="ED7D31" w:themeColor="accent2"/>
          <w:sz w:val="24"/>
          <w:szCs w:val="24"/>
        </w:rPr>
        <w:t xml:space="preserve"> </w:t>
      </w:r>
      <w:r w:rsidR="0043397B" w:rsidRPr="00B36962">
        <w:rPr>
          <w:rFonts w:ascii="Verdana" w:hAnsi="Verdana"/>
          <w:b/>
          <w:sz w:val="24"/>
          <w:szCs w:val="24"/>
        </w:rPr>
        <w:t>admission at the threshold stage</w:t>
      </w:r>
      <w:r w:rsidR="00570A39">
        <w:rPr>
          <w:rFonts w:ascii="Verdana" w:hAnsi="Verdana"/>
          <w:b/>
          <w:sz w:val="24"/>
          <w:szCs w:val="24"/>
        </w:rPr>
        <w:t>:</w:t>
      </w:r>
    </w:p>
    <w:p w14:paraId="13B2A0B9" w14:textId="6D61AB36" w:rsidR="00570A39" w:rsidRDefault="00570A39" w:rsidP="00570A39">
      <w:pPr>
        <w:pStyle w:val="ListParagraph"/>
        <w:ind w:left="1440"/>
        <w:rPr>
          <w:rFonts w:ascii="Verdana" w:hAnsi="Verdana"/>
          <w:b/>
          <w:sz w:val="24"/>
          <w:szCs w:val="24"/>
        </w:rPr>
      </w:pPr>
      <w:r>
        <w:rPr>
          <w:rFonts w:ascii="Verdana" w:hAnsi="Verdana"/>
          <w:b/>
          <w:sz w:val="24"/>
          <w:szCs w:val="24"/>
        </w:rPr>
        <w:t>(a)</w:t>
      </w:r>
      <w:r w:rsidR="0043397B" w:rsidRPr="00B36962">
        <w:rPr>
          <w:rFonts w:ascii="Verdana" w:hAnsi="Verdana"/>
          <w:b/>
          <w:sz w:val="24"/>
          <w:szCs w:val="24"/>
        </w:rPr>
        <w:t xml:space="preserve"> in the context of previous joinder</w:t>
      </w:r>
      <w:r w:rsidR="008C6712">
        <w:rPr>
          <w:rFonts w:ascii="Verdana" w:hAnsi="Verdana"/>
          <w:b/>
          <w:sz w:val="24"/>
          <w:szCs w:val="24"/>
        </w:rPr>
        <w:t xml:space="preserve"> as interven</w:t>
      </w:r>
      <w:r w:rsidR="00E34CFC">
        <w:rPr>
          <w:rFonts w:ascii="Verdana" w:hAnsi="Verdana"/>
          <w:b/>
          <w:sz w:val="24"/>
          <w:szCs w:val="24"/>
        </w:rPr>
        <w:t>o</w:t>
      </w:r>
      <w:r w:rsidR="008C6712">
        <w:rPr>
          <w:rFonts w:ascii="Verdana" w:hAnsi="Verdana"/>
          <w:b/>
          <w:sz w:val="24"/>
          <w:szCs w:val="24"/>
        </w:rPr>
        <w:t>rs</w:t>
      </w:r>
      <w:r w:rsidR="004A1F53">
        <w:rPr>
          <w:rFonts w:ascii="Verdana" w:hAnsi="Verdana"/>
          <w:b/>
          <w:sz w:val="24"/>
          <w:szCs w:val="24"/>
        </w:rPr>
        <w:t xml:space="preserve"> by their applications made on 24/05/2011</w:t>
      </w:r>
      <w:r w:rsidR="0043397B" w:rsidRPr="00B36962">
        <w:rPr>
          <w:rFonts w:ascii="Verdana" w:hAnsi="Verdana"/>
          <w:b/>
          <w:sz w:val="24"/>
          <w:szCs w:val="24"/>
        </w:rPr>
        <w:t xml:space="preserve"> in</w:t>
      </w:r>
      <w:r w:rsidR="008C6712">
        <w:rPr>
          <w:rFonts w:ascii="Verdana" w:hAnsi="Verdana"/>
          <w:b/>
          <w:sz w:val="24"/>
          <w:szCs w:val="24"/>
        </w:rPr>
        <w:t xml:space="preserve"> terms of Rule (5) read with Rule (28) </w:t>
      </w:r>
      <w:r w:rsidR="008C6712" w:rsidRPr="008C6712">
        <w:rPr>
          <w:rFonts w:ascii="Verdana" w:hAnsi="Verdana"/>
          <w:b/>
          <w:sz w:val="24"/>
          <w:szCs w:val="24"/>
        </w:rPr>
        <w:t>of the Authority for Advance Rulings (Procedure) Rules 1996</w:t>
      </w:r>
      <w:r w:rsidR="0043397B" w:rsidRPr="008C6712">
        <w:rPr>
          <w:rFonts w:ascii="Verdana" w:hAnsi="Verdana"/>
          <w:b/>
          <w:sz w:val="24"/>
          <w:szCs w:val="24"/>
        </w:rPr>
        <w:t xml:space="preserve"> </w:t>
      </w:r>
      <w:r w:rsidR="008C6712">
        <w:rPr>
          <w:rFonts w:ascii="Verdana" w:hAnsi="Verdana"/>
          <w:sz w:val="24"/>
          <w:szCs w:val="24"/>
        </w:rPr>
        <w:t>[</w:t>
      </w:r>
      <w:r w:rsidR="008C6712" w:rsidRPr="008C6712">
        <w:rPr>
          <w:rFonts w:ascii="Verdana" w:hAnsi="Verdana"/>
          <w:b/>
          <w:sz w:val="24"/>
          <w:szCs w:val="24"/>
        </w:rPr>
        <w:t xml:space="preserve">The Authority Rules, in short] </w:t>
      </w:r>
      <w:r>
        <w:rPr>
          <w:rFonts w:ascii="Verdana" w:hAnsi="Verdana"/>
          <w:b/>
          <w:sz w:val="24"/>
          <w:szCs w:val="24"/>
        </w:rPr>
        <w:t xml:space="preserve">in the </w:t>
      </w:r>
      <w:r w:rsidR="0043397B" w:rsidRPr="00B36962">
        <w:rPr>
          <w:rFonts w:ascii="Verdana" w:hAnsi="Verdana"/>
          <w:b/>
          <w:sz w:val="24"/>
          <w:szCs w:val="24"/>
        </w:rPr>
        <w:t>application filed by Euro Pacific Securities Ltd. (In short, “EPSL”) being Application No 982 of 2010</w:t>
      </w:r>
      <w:r w:rsidR="009D3BB5" w:rsidRPr="00B36962">
        <w:rPr>
          <w:rFonts w:ascii="Verdana" w:hAnsi="Verdana"/>
          <w:b/>
          <w:sz w:val="24"/>
          <w:szCs w:val="24"/>
        </w:rPr>
        <w:t xml:space="preserve"> </w:t>
      </w:r>
      <w:r w:rsidR="0043397B" w:rsidRPr="00B36962">
        <w:rPr>
          <w:rFonts w:ascii="Verdana" w:hAnsi="Verdana"/>
          <w:b/>
          <w:sz w:val="24"/>
          <w:szCs w:val="24"/>
        </w:rPr>
        <w:t xml:space="preserve">&amp; </w:t>
      </w:r>
    </w:p>
    <w:p w14:paraId="2CEBD7C5" w14:textId="6C087368" w:rsidR="003155C2" w:rsidRDefault="00570A39" w:rsidP="00570A39">
      <w:pPr>
        <w:ind w:left="1440"/>
        <w:rPr>
          <w:rFonts w:ascii="Verdana" w:hAnsi="Verdana"/>
          <w:b/>
          <w:sz w:val="24"/>
          <w:szCs w:val="24"/>
        </w:rPr>
      </w:pPr>
      <w:r>
        <w:rPr>
          <w:rFonts w:ascii="Verdana" w:hAnsi="Verdana"/>
          <w:b/>
          <w:sz w:val="24"/>
          <w:szCs w:val="24"/>
        </w:rPr>
        <w:t>(b)</w:t>
      </w:r>
      <w:r w:rsidRPr="00570A39">
        <w:rPr>
          <w:rFonts w:ascii="Verdana" w:hAnsi="Verdana"/>
          <w:b/>
          <w:sz w:val="24"/>
          <w:szCs w:val="24"/>
        </w:rPr>
        <w:t>Further</w:t>
      </w:r>
      <w:r>
        <w:rPr>
          <w:rFonts w:ascii="Verdana" w:hAnsi="Verdana"/>
          <w:b/>
          <w:sz w:val="24"/>
          <w:szCs w:val="24"/>
        </w:rPr>
        <w:t>,</w:t>
      </w:r>
      <w:r w:rsidRPr="00570A39">
        <w:rPr>
          <w:rFonts w:ascii="Verdana" w:hAnsi="Verdana"/>
          <w:b/>
          <w:sz w:val="24"/>
          <w:szCs w:val="24"/>
        </w:rPr>
        <w:t xml:space="preserve"> for the</w:t>
      </w:r>
      <w:r>
        <w:rPr>
          <w:rFonts w:ascii="Verdana" w:hAnsi="Verdana"/>
          <w:b/>
          <w:sz w:val="24"/>
          <w:szCs w:val="24"/>
        </w:rPr>
        <w:t xml:space="preserve"> reason that</w:t>
      </w:r>
      <w:r w:rsidR="0043397B" w:rsidRPr="00570A39">
        <w:rPr>
          <w:rFonts w:ascii="Verdana" w:hAnsi="Verdana"/>
          <w:b/>
          <w:sz w:val="24"/>
          <w:szCs w:val="24"/>
        </w:rPr>
        <w:t xml:space="preserve"> the two applicants did not disclose</w:t>
      </w:r>
      <w:r>
        <w:rPr>
          <w:rFonts w:ascii="Verdana" w:hAnsi="Verdana"/>
          <w:b/>
          <w:sz w:val="24"/>
          <w:szCs w:val="24"/>
        </w:rPr>
        <w:t xml:space="preserve"> or rather suppressed</w:t>
      </w:r>
      <w:r w:rsidR="0043397B" w:rsidRPr="00570A39">
        <w:rPr>
          <w:rFonts w:ascii="Verdana" w:hAnsi="Verdana"/>
          <w:b/>
          <w:sz w:val="24"/>
          <w:szCs w:val="24"/>
        </w:rPr>
        <w:t xml:space="preserve"> in their respective application</w:t>
      </w:r>
      <w:r>
        <w:rPr>
          <w:rFonts w:ascii="Verdana" w:hAnsi="Verdana"/>
          <w:b/>
          <w:sz w:val="24"/>
          <w:szCs w:val="24"/>
        </w:rPr>
        <w:t>s</w:t>
      </w:r>
      <w:r w:rsidR="0043397B" w:rsidRPr="00570A39">
        <w:rPr>
          <w:rFonts w:ascii="Verdana" w:hAnsi="Verdana"/>
          <w:b/>
          <w:sz w:val="24"/>
          <w:szCs w:val="24"/>
        </w:rPr>
        <w:t xml:space="preserve"> </w:t>
      </w:r>
      <w:r>
        <w:rPr>
          <w:rFonts w:ascii="Verdana" w:hAnsi="Verdana"/>
          <w:b/>
          <w:sz w:val="24"/>
          <w:szCs w:val="24"/>
        </w:rPr>
        <w:t>the fact of joining in that application as interven</w:t>
      </w:r>
      <w:r w:rsidR="00E34CFC">
        <w:rPr>
          <w:rFonts w:ascii="Verdana" w:hAnsi="Verdana"/>
          <w:b/>
          <w:sz w:val="24"/>
          <w:szCs w:val="24"/>
        </w:rPr>
        <w:t>o</w:t>
      </w:r>
      <w:r>
        <w:rPr>
          <w:rFonts w:ascii="Verdana" w:hAnsi="Verdana"/>
          <w:b/>
          <w:sz w:val="24"/>
          <w:szCs w:val="24"/>
        </w:rPr>
        <w:t xml:space="preserve">rs which was a relevant and a material fact EPSL withdrew its application on 01/07/2011 in their presence in the proceeding to which the two present applicants were parties to the hearing of such application for the withdrawal by EPSL. This fact is evident from the order dated 01/07/2011 of </w:t>
      </w:r>
      <w:r w:rsidR="00E34CFC">
        <w:rPr>
          <w:rFonts w:ascii="Verdana" w:hAnsi="Verdana"/>
          <w:b/>
          <w:sz w:val="24"/>
          <w:szCs w:val="24"/>
        </w:rPr>
        <w:t xml:space="preserve">the </w:t>
      </w:r>
      <w:r>
        <w:rPr>
          <w:rFonts w:ascii="Verdana" w:hAnsi="Verdana"/>
          <w:b/>
          <w:sz w:val="24"/>
          <w:szCs w:val="24"/>
        </w:rPr>
        <w:t>Hon’ble Authority dismissing the application of EPSL as withdrawn</w:t>
      </w:r>
      <w:r w:rsidR="009C2B38" w:rsidRPr="00570A39">
        <w:rPr>
          <w:rFonts w:ascii="Verdana" w:hAnsi="Verdana"/>
          <w:b/>
          <w:sz w:val="24"/>
          <w:szCs w:val="24"/>
        </w:rPr>
        <w:t>.</w:t>
      </w:r>
    </w:p>
    <w:p w14:paraId="4A6098EA" w14:textId="61B0D080" w:rsidR="00E34CFC" w:rsidRDefault="00E34CFC" w:rsidP="00E34CFC">
      <w:pPr>
        <w:pStyle w:val="ListParagraph"/>
        <w:ind w:left="1080" w:right="-188"/>
        <w:rPr>
          <w:rFonts w:ascii="Verdana" w:hAnsi="Verdana"/>
          <w:b/>
          <w:sz w:val="24"/>
          <w:szCs w:val="24"/>
        </w:rPr>
      </w:pPr>
      <w:r>
        <w:rPr>
          <w:rFonts w:ascii="Verdana" w:hAnsi="Verdana"/>
          <w:b/>
          <w:sz w:val="24"/>
          <w:szCs w:val="24"/>
        </w:rPr>
        <w:t xml:space="preserve">2.Without prejudice to the above, </w:t>
      </w:r>
      <w:r w:rsidRPr="000100F6">
        <w:rPr>
          <w:rFonts w:ascii="Verdana" w:hAnsi="Verdana"/>
          <w:b/>
          <w:sz w:val="24"/>
          <w:szCs w:val="24"/>
        </w:rPr>
        <w:t>Whether the question raised by the two applicants could be said to be hit by item (i) of the 1</w:t>
      </w:r>
      <w:r w:rsidRPr="000100F6">
        <w:rPr>
          <w:rFonts w:ascii="Verdana" w:hAnsi="Verdana"/>
          <w:b/>
          <w:sz w:val="24"/>
          <w:szCs w:val="24"/>
          <w:vertAlign w:val="superscript"/>
        </w:rPr>
        <w:t>st</w:t>
      </w:r>
      <w:r w:rsidRPr="000100F6">
        <w:rPr>
          <w:rFonts w:ascii="Verdana" w:hAnsi="Verdana"/>
          <w:b/>
          <w:sz w:val="24"/>
          <w:szCs w:val="24"/>
        </w:rPr>
        <w:t xml:space="preserve"> proviso to section 245R (2) of the Act for the reason that proceedings as well question could be said to be pending before any income-tax authority (in this case before learned Assessing Officer) who was making enquiries from the two present applicants in terms of Section 133(6) of the Act and raising questions in this regard, which fact has been confirmed by the two present applicants in Para (4) of their </w:t>
      </w:r>
      <w:r w:rsidRPr="000100F6">
        <w:rPr>
          <w:rFonts w:ascii="Verdana" w:hAnsi="Verdana"/>
          <w:b/>
          <w:sz w:val="24"/>
          <w:szCs w:val="24"/>
        </w:rPr>
        <w:lastRenderedPageBreak/>
        <w:t>identically worded intervention applications filed on 24</w:t>
      </w:r>
      <w:r w:rsidRPr="000100F6">
        <w:rPr>
          <w:rFonts w:ascii="Verdana" w:hAnsi="Verdana"/>
          <w:b/>
          <w:sz w:val="24"/>
          <w:szCs w:val="24"/>
          <w:vertAlign w:val="superscript"/>
        </w:rPr>
        <w:t>th</w:t>
      </w:r>
      <w:r w:rsidRPr="000100F6">
        <w:rPr>
          <w:rFonts w:ascii="Verdana" w:hAnsi="Verdana"/>
          <w:b/>
          <w:sz w:val="24"/>
          <w:szCs w:val="24"/>
        </w:rPr>
        <w:t xml:space="preserve"> May, 2011. It was this fact which made the two present applicants to join in the Application No. 982 of 2010 filed by EPSL as intervenors in the proceedings under Section 245R (4) of the Act</w:t>
      </w:r>
      <w:r>
        <w:rPr>
          <w:rFonts w:ascii="Verdana" w:hAnsi="Verdana"/>
          <w:b/>
          <w:sz w:val="24"/>
          <w:szCs w:val="24"/>
        </w:rPr>
        <w:t>.</w:t>
      </w:r>
    </w:p>
    <w:p w14:paraId="31F8E376" w14:textId="1E2FFDAA" w:rsidR="003449EA" w:rsidRDefault="00E34CFC" w:rsidP="00E34CFC">
      <w:pPr>
        <w:ind w:firstLine="720"/>
        <w:rPr>
          <w:rFonts w:ascii="Verdana" w:hAnsi="Verdana"/>
          <w:sz w:val="24"/>
          <w:szCs w:val="24"/>
        </w:rPr>
      </w:pPr>
      <w:r>
        <w:rPr>
          <w:rFonts w:ascii="Verdana" w:hAnsi="Verdana"/>
          <w:sz w:val="24"/>
          <w:szCs w:val="24"/>
        </w:rPr>
        <w:t>These issues are being dealt in seriatim now.</w:t>
      </w:r>
    </w:p>
    <w:p w14:paraId="07F91E6F" w14:textId="77777777" w:rsidR="00E34CFC" w:rsidRDefault="00E34CFC" w:rsidP="009C2B38">
      <w:pPr>
        <w:pStyle w:val="ListParagraph"/>
        <w:ind w:left="1080"/>
        <w:rPr>
          <w:rFonts w:ascii="Verdana" w:hAnsi="Verdana"/>
          <w:sz w:val="24"/>
          <w:szCs w:val="24"/>
        </w:rPr>
      </w:pPr>
      <w:r>
        <w:rPr>
          <w:rFonts w:ascii="Verdana" w:hAnsi="Verdana"/>
          <w:sz w:val="24"/>
          <w:szCs w:val="24"/>
        </w:rPr>
        <w:t>1.</w:t>
      </w:r>
      <w:r w:rsidR="00B36962">
        <w:rPr>
          <w:rFonts w:ascii="Verdana" w:hAnsi="Verdana"/>
          <w:sz w:val="24"/>
          <w:szCs w:val="24"/>
        </w:rPr>
        <w:t>It is a fact that t</w:t>
      </w:r>
      <w:r w:rsidR="009C2B38">
        <w:rPr>
          <w:rFonts w:ascii="Verdana" w:hAnsi="Verdana"/>
          <w:sz w:val="24"/>
          <w:szCs w:val="24"/>
        </w:rPr>
        <w:t xml:space="preserve">he </w:t>
      </w:r>
      <w:r w:rsidR="00B36962">
        <w:rPr>
          <w:rFonts w:ascii="Verdana" w:hAnsi="Verdana"/>
          <w:sz w:val="24"/>
          <w:szCs w:val="24"/>
        </w:rPr>
        <w:t xml:space="preserve">two </w:t>
      </w:r>
      <w:r w:rsidR="009C2B38">
        <w:rPr>
          <w:rFonts w:ascii="Verdana" w:hAnsi="Verdana"/>
          <w:sz w:val="24"/>
          <w:szCs w:val="24"/>
        </w:rPr>
        <w:t xml:space="preserve">intervenors </w:t>
      </w:r>
      <w:r w:rsidR="00A56DB7">
        <w:rPr>
          <w:rFonts w:ascii="Verdana" w:hAnsi="Verdana"/>
          <w:sz w:val="24"/>
          <w:szCs w:val="24"/>
        </w:rPr>
        <w:t>joined the applicant, EPSL</w:t>
      </w:r>
      <w:r w:rsidR="006B78BA">
        <w:rPr>
          <w:rFonts w:ascii="Verdana" w:hAnsi="Verdana"/>
          <w:sz w:val="24"/>
          <w:szCs w:val="24"/>
        </w:rPr>
        <w:t xml:space="preserve"> in its application No 982 of 2010 on an admitted plea that they were </w:t>
      </w:r>
      <w:r w:rsidR="006B78BA" w:rsidRPr="00E34CFC">
        <w:rPr>
          <w:rFonts w:ascii="Verdana" w:hAnsi="Verdana"/>
          <w:b/>
          <w:i/>
          <w:sz w:val="24"/>
          <w:szCs w:val="24"/>
          <w:u w:val="single"/>
        </w:rPr>
        <w:t>vitally concerned,</w:t>
      </w:r>
      <w:bookmarkStart w:id="0" w:name="_Hlk19309899"/>
      <w:r w:rsidR="006B78BA" w:rsidRPr="00E34CFC">
        <w:rPr>
          <w:rFonts w:ascii="Verdana" w:hAnsi="Verdana"/>
          <w:b/>
          <w:i/>
          <w:sz w:val="24"/>
          <w:szCs w:val="24"/>
          <w:u w:val="single"/>
        </w:rPr>
        <w:t xml:space="preserve"> interested and affected</w:t>
      </w:r>
      <w:r w:rsidR="00B36962" w:rsidRPr="00E34CFC">
        <w:rPr>
          <w:rFonts w:ascii="Verdana" w:hAnsi="Verdana"/>
          <w:b/>
          <w:i/>
          <w:sz w:val="24"/>
          <w:szCs w:val="24"/>
          <w:u w:val="single"/>
        </w:rPr>
        <w:t xml:space="preserve"> in the principal issue on which ruling was </w:t>
      </w:r>
      <w:r w:rsidRPr="00E34CFC">
        <w:rPr>
          <w:rFonts w:ascii="Verdana" w:hAnsi="Verdana"/>
          <w:b/>
          <w:i/>
          <w:sz w:val="24"/>
          <w:szCs w:val="24"/>
          <w:u w:val="single"/>
        </w:rPr>
        <w:t xml:space="preserve">being </w:t>
      </w:r>
      <w:r w:rsidR="00B36962" w:rsidRPr="00E34CFC">
        <w:rPr>
          <w:rFonts w:ascii="Verdana" w:hAnsi="Verdana"/>
          <w:b/>
          <w:i/>
          <w:sz w:val="24"/>
          <w:szCs w:val="24"/>
          <w:u w:val="single"/>
        </w:rPr>
        <w:t>sought for</w:t>
      </w:r>
      <w:r w:rsidR="003449EA" w:rsidRPr="00E34CFC">
        <w:rPr>
          <w:rFonts w:ascii="Verdana" w:hAnsi="Verdana"/>
          <w:b/>
          <w:i/>
          <w:sz w:val="24"/>
          <w:szCs w:val="24"/>
          <w:u w:val="single"/>
        </w:rPr>
        <w:t xml:space="preserve"> </w:t>
      </w:r>
      <w:r w:rsidRPr="00E34CFC">
        <w:rPr>
          <w:rFonts w:ascii="Verdana" w:hAnsi="Verdana"/>
          <w:b/>
          <w:i/>
          <w:sz w:val="24"/>
          <w:szCs w:val="24"/>
          <w:u w:val="single"/>
        </w:rPr>
        <w:t>by EPSL</w:t>
      </w:r>
      <w:r>
        <w:rPr>
          <w:rFonts w:ascii="Verdana" w:hAnsi="Verdana"/>
          <w:sz w:val="24"/>
          <w:szCs w:val="24"/>
        </w:rPr>
        <w:t xml:space="preserve"> </w:t>
      </w:r>
      <w:bookmarkEnd w:id="0"/>
      <w:r w:rsidR="003449EA">
        <w:rPr>
          <w:rFonts w:ascii="Verdana" w:hAnsi="Verdana"/>
          <w:sz w:val="24"/>
          <w:szCs w:val="24"/>
        </w:rPr>
        <w:t xml:space="preserve">and on being asked unequivocally stated that Rule (5) &amp; Rule 28 </w:t>
      </w:r>
      <w:bookmarkStart w:id="1" w:name="_Hlk19185006"/>
      <w:r w:rsidR="003449EA">
        <w:rPr>
          <w:rFonts w:ascii="Verdana" w:hAnsi="Verdana"/>
          <w:sz w:val="24"/>
          <w:szCs w:val="24"/>
        </w:rPr>
        <w:t>of the Authority for Advance Rulings (Procedure) Rules 1996</w:t>
      </w:r>
      <w:bookmarkEnd w:id="1"/>
      <w:r w:rsidR="003449EA">
        <w:rPr>
          <w:rFonts w:ascii="Verdana" w:hAnsi="Verdana"/>
          <w:sz w:val="24"/>
          <w:szCs w:val="24"/>
        </w:rPr>
        <w:t xml:space="preserve"> </w:t>
      </w:r>
      <w:bookmarkStart w:id="2" w:name="_Hlk19185050"/>
      <w:r w:rsidR="003449EA">
        <w:rPr>
          <w:rFonts w:ascii="Verdana" w:hAnsi="Verdana"/>
          <w:sz w:val="24"/>
          <w:szCs w:val="24"/>
        </w:rPr>
        <w:t xml:space="preserve">[The Authority Rules, in short] </w:t>
      </w:r>
      <w:bookmarkEnd w:id="2"/>
      <w:r w:rsidR="003449EA">
        <w:rPr>
          <w:rFonts w:ascii="Verdana" w:hAnsi="Verdana"/>
          <w:sz w:val="24"/>
          <w:szCs w:val="24"/>
        </w:rPr>
        <w:t xml:space="preserve">enables the two intervenors to join the application filed by EPSL. </w:t>
      </w:r>
    </w:p>
    <w:p w14:paraId="6C31EE9A" w14:textId="77777777" w:rsidR="00BB580E" w:rsidRDefault="00BB580E" w:rsidP="009C2B38">
      <w:pPr>
        <w:pStyle w:val="ListParagraph"/>
        <w:ind w:left="1080"/>
        <w:rPr>
          <w:rFonts w:ascii="Verdana" w:hAnsi="Verdana"/>
          <w:sz w:val="24"/>
          <w:szCs w:val="24"/>
        </w:rPr>
      </w:pPr>
    </w:p>
    <w:p w14:paraId="03482A38" w14:textId="6FAB6A48" w:rsidR="000A4B39" w:rsidRDefault="003449EA" w:rsidP="009C2B38">
      <w:pPr>
        <w:pStyle w:val="ListParagraph"/>
        <w:ind w:left="1080"/>
        <w:rPr>
          <w:rFonts w:ascii="Verdana" w:hAnsi="Verdana"/>
          <w:sz w:val="24"/>
          <w:szCs w:val="24"/>
        </w:rPr>
      </w:pPr>
      <w:r>
        <w:rPr>
          <w:rFonts w:ascii="Verdana" w:hAnsi="Verdana"/>
          <w:sz w:val="24"/>
          <w:szCs w:val="24"/>
        </w:rPr>
        <w:t>It may be significant to mention that these Authority Rules are unique and exceptional in the sense that in no other Chapter of the entire Income -tax Act, 1961, such provisions exist</w:t>
      </w:r>
      <w:r w:rsidR="00E34CFC">
        <w:rPr>
          <w:rFonts w:ascii="Verdana" w:hAnsi="Verdana"/>
          <w:sz w:val="24"/>
          <w:szCs w:val="24"/>
        </w:rPr>
        <w:t>. An analogy of these provisions can be found in</w:t>
      </w:r>
      <w:r w:rsidR="00BB580E">
        <w:rPr>
          <w:rFonts w:ascii="Verdana" w:hAnsi="Verdana"/>
          <w:sz w:val="24"/>
          <w:szCs w:val="24"/>
        </w:rPr>
        <w:t xml:space="preserve"> Rule 8A, Rule 10 (2) &amp; Rule 1 of Order 1 of</w:t>
      </w:r>
      <w:r w:rsidR="00E34CFC">
        <w:rPr>
          <w:rFonts w:ascii="Verdana" w:hAnsi="Verdana"/>
          <w:sz w:val="24"/>
          <w:szCs w:val="24"/>
        </w:rPr>
        <w:t xml:space="preserve"> the Civil Procedure Code of 1908</w:t>
      </w:r>
      <w:r w:rsidR="00BB580E">
        <w:rPr>
          <w:rFonts w:ascii="Verdana" w:hAnsi="Verdana"/>
          <w:sz w:val="24"/>
          <w:szCs w:val="24"/>
        </w:rPr>
        <w:t xml:space="preserve"> (“the CPC”, in short). Even the withdrawal of an application of this nature filed in the course of consideration of an application by an applicant under section 245Q (1) of the Act would require to be dealt in the manner provided under </w:t>
      </w:r>
      <w:bookmarkStart w:id="3" w:name="_Hlk19187245"/>
      <w:r w:rsidR="00BB580E">
        <w:rPr>
          <w:rFonts w:ascii="Verdana" w:hAnsi="Verdana"/>
          <w:sz w:val="24"/>
          <w:szCs w:val="24"/>
        </w:rPr>
        <w:t>Rule</w:t>
      </w:r>
      <w:r w:rsidR="00975123">
        <w:rPr>
          <w:rFonts w:ascii="Verdana" w:hAnsi="Verdana"/>
          <w:sz w:val="24"/>
          <w:szCs w:val="24"/>
        </w:rPr>
        <w:t xml:space="preserve"> </w:t>
      </w:r>
      <w:r w:rsidR="00BB580E">
        <w:rPr>
          <w:rFonts w:ascii="Verdana" w:hAnsi="Verdana"/>
          <w:sz w:val="24"/>
          <w:szCs w:val="24"/>
        </w:rPr>
        <w:t>(</w:t>
      </w:r>
      <w:r w:rsidR="00975123">
        <w:rPr>
          <w:rFonts w:ascii="Verdana" w:hAnsi="Verdana"/>
          <w:sz w:val="24"/>
          <w:szCs w:val="24"/>
        </w:rPr>
        <w:t>3)</w:t>
      </w:r>
      <w:r w:rsidR="00BB580E">
        <w:rPr>
          <w:rFonts w:ascii="Verdana" w:hAnsi="Verdana"/>
          <w:sz w:val="24"/>
          <w:szCs w:val="24"/>
        </w:rPr>
        <w:t xml:space="preserve"> &amp; (5) of the Order 23 of CPC</w:t>
      </w:r>
      <w:bookmarkEnd w:id="3"/>
      <w:r w:rsidR="00BB580E">
        <w:rPr>
          <w:rFonts w:ascii="Verdana" w:hAnsi="Verdana"/>
          <w:sz w:val="24"/>
          <w:szCs w:val="24"/>
        </w:rPr>
        <w:t>.</w:t>
      </w:r>
      <w:r>
        <w:rPr>
          <w:rFonts w:ascii="Verdana" w:hAnsi="Verdana"/>
          <w:sz w:val="24"/>
          <w:szCs w:val="24"/>
        </w:rPr>
        <w:t xml:space="preserve"> </w:t>
      </w:r>
      <w:r w:rsidR="00975123">
        <w:rPr>
          <w:rFonts w:ascii="Verdana" w:hAnsi="Verdana"/>
          <w:sz w:val="24"/>
          <w:szCs w:val="24"/>
        </w:rPr>
        <w:t>The uniqueness of the provisions of the aforesaid Rules could not</w:t>
      </w:r>
      <w:r>
        <w:rPr>
          <w:rFonts w:ascii="Verdana" w:hAnsi="Verdana"/>
          <w:sz w:val="24"/>
          <w:szCs w:val="24"/>
        </w:rPr>
        <w:t xml:space="preserve"> c</w:t>
      </w:r>
      <w:r w:rsidR="00975123">
        <w:rPr>
          <w:rFonts w:ascii="Verdana" w:hAnsi="Verdana"/>
          <w:sz w:val="24"/>
          <w:szCs w:val="24"/>
        </w:rPr>
        <w:t>o</w:t>
      </w:r>
      <w:r>
        <w:rPr>
          <w:rFonts w:ascii="Verdana" w:hAnsi="Verdana"/>
          <w:sz w:val="24"/>
          <w:szCs w:val="24"/>
        </w:rPr>
        <w:t xml:space="preserve">me </w:t>
      </w:r>
      <w:r w:rsidR="0086232F">
        <w:rPr>
          <w:rFonts w:ascii="Verdana" w:hAnsi="Verdana"/>
          <w:sz w:val="24"/>
          <w:szCs w:val="24"/>
        </w:rPr>
        <w:t xml:space="preserve">up </w:t>
      </w:r>
      <w:r>
        <w:rPr>
          <w:rFonts w:ascii="Verdana" w:hAnsi="Verdana"/>
          <w:sz w:val="24"/>
          <w:szCs w:val="24"/>
        </w:rPr>
        <w:t xml:space="preserve">for consideration </w:t>
      </w:r>
      <w:r w:rsidR="00975123">
        <w:rPr>
          <w:rFonts w:ascii="Verdana" w:hAnsi="Verdana"/>
          <w:sz w:val="24"/>
          <w:szCs w:val="24"/>
        </w:rPr>
        <w:t xml:space="preserve">by Hon’ble Authority </w:t>
      </w:r>
      <w:r>
        <w:rPr>
          <w:rFonts w:ascii="Verdana" w:hAnsi="Verdana"/>
          <w:sz w:val="24"/>
          <w:szCs w:val="24"/>
        </w:rPr>
        <w:t xml:space="preserve">except in the case of </w:t>
      </w:r>
      <w:r w:rsidR="000A4B39">
        <w:rPr>
          <w:rFonts w:ascii="Verdana" w:hAnsi="Verdana"/>
          <w:sz w:val="24"/>
          <w:szCs w:val="24"/>
        </w:rPr>
        <w:t xml:space="preserve">General Electric Pension Trust, </w:t>
      </w:r>
      <w:r w:rsidR="00E34CFC">
        <w:rPr>
          <w:rFonts w:ascii="Verdana" w:hAnsi="Verdana"/>
          <w:sz w:val="24"/>
          <w:szCs w:val="24"/>
        </w:rPr>
        <w:t>in</w:t>
      </w:r>
      <w:r w:rsidR="000A4B39">
        <w:rPr>
          <w:rFonts w:ascii="Verdana" w:hAnsi="Verdana"/>
          <w:sz w:val="24"/>
          <w:szCs w:val="24"/>
        </w:rPr>
        <w:t xml:space="preserve"> re reported in [2007] 159 Taxman 213 (AAR) where it was </w:t>
      </w:r>
      <w:r>
        <w:rPr>
          <w:rFonts w:ascii="Verdana" w:hAnsi="Verdana"/>
          <w:sz w:val="24"/>
          <w:szCs w:val="24"/>
        </w:rPr>
        <w:t>held</w:t>
      </w:r>
      <w:r w:rsidR="000A4B39">
        <w:rPr>
          <w:rFonts w:ascii="Verdana" w:hAnsi="Verdana"/>
          <w:sz w:val="24"/>
          <w:szCs w:val="24"/>
        </w:rPr>
        <w:t>:</w:t>
      </w:r>
      <w:r>
        <w:rPr>
          <w:rFonts w:ascii="Verdana" w:hAnsi="Verdana"/>
          <w:sz w:val="24"/>
          <w:szCs w:val="24"/>
        </w:rPr>
        <w:t xml:space="preserve"> </w:t>
      </w:r>
    </w:p>
    <w:p w14:paraId="3B205C6B" w14:textId="77777777" w:rsidR="00631C9C" w:rsidRDefault="00631C9C" w:rsidP="009C2B38">
      <w:pPr>
        <w:pStyle w:val="ListParagraph"/>
        <w:ind w:left="1080"/>
        <w:rPr>
          <w:rFonts w:ascii="Verdana" w:hAnsi="Verdana"/>
          <w:b/>
          <w:i/>
          <w:sz w:val="24"/>
          <w:szCs w:val="24"/>
        </w:rPr>
      </w:pPr>
    </w:p>
    <w:p w14:paraId="0E31570E" w14:textId="357E67D6" w:rsidR="00B64E07" w:rsidRDefault="000A4B39" w:rsidP="009C2B38">
      <w:pPr>
        <w:pStyle w:val="ListParagraph"/>
        <w:ind w:left="1080"/>
        <w:rPr>
          <w:rFonts w:ascii="Verdana" w:hAnsi="Verdana"/>
          <w:sz w:val="24"/>
          <w:szCs w:val="24"/>
        </w:rPr>
      </w:pPr>
      <w:r w:rsidRPr="00975123">
        <w:rPr>
          <w:rFonts w:ascii="Verdana" w:hAnsi="Verdana"/>
          <w:b/>
          <w:i/>
          <w:sz w:val="24"/>
          <w:szCs w:val="24"/>
          <w:u w:val="single"/>
        </w:rPr>
        <w:t xml:space="preserve">“A perusal of Rule 5 discloses </w:t>
      </w:r>
      <w:r w:rsidR="003449EA" w:rsidRPr="00975123">
        <w:rPr>
          <w:rFonts w:ascii="Verdana" w:hAnsi="Verdana"/>
          <w:b/>
          <w:i/>
          <w:sz w:val="24"/>
          <w:szCs w:val="24"/>
          <w:u w:val="single"/>
        </w:rPr>
        <w:t xml:space="preserve">that </w:t>
      </w:r>
      <w:r w:rsidRPr="00975123">
        <w:rPr>
          <w:rFonts w:ascii="Verdana" w:hAnsi="Verdana"/>
          <w:b/>
          <w:i/>
          <w:sz w:val="24"/>
          <w:szCs w:val="24"/>
          <w:u w:val="single"/>
        </w:rPr>
        <w:t xml:space="preserve">the power conferred on the Authority is couched in </w:t>
      </w:r>
      <w:r w:rsidR="00BB580E" w:rsidRPr="00975123">
        <w:rPr>
          <w:rFonts w:ascii="Verdana" w:hAnsi="Verdana"/>
          <w:b/>
          <w:i/>
          <w:sz w:val="24"/>
          <w:szCs w:val="24"/>
          <w:u w:val="single"/>
        </w:rPr>
        <w:t xml:space="preserve">very </w:t>
      </w:r>
      <w:r w:rsidRPr="00975123">
        <w:rPr>
          <w:rFonts w:ascii="Verdana" w:hAnsi="Verdana"/>
          <w:b/>
          <w:i/>
          <w:sz w:val="24"/>
          <w:szCs w:val="24"/>
          <w:u w:val="single"/>
        </w:rPr>
        <w:t>wide terms. It speaks of determination of the application filed under section 245Q (1) of the Income-tax Act, 1961(for short ‘the Act’) and such other applications, petitions and representations of an interlocutory</w:t>
      </w:r>
      <w:r w:rsidR="00B64E07" w:rsidRPr="00975123">
        <w:rPr>
          <w:rFonts w:ascii="Verdana" w:hAnsi="Verdana"/>
          <w:b/>
          <w:i/>
          <w:sz w:val="24"/>
          <w:szCs w:val="24"/>
          <w:u w:val="single"/>
        </w:rPr>
        <w:t>, incidental or ancillary nature</w:t>
      </w:r>
      <w:r w:rsidRPr="00975123">
        <w:rPr>
          <w:rFonts w:ascii="Verdana" w:hAnsi="Verdana"/>
          <w:b/>
          <w:i/>
          <w:sz w:val="24"/>
          <w:szCs w:val="24"/>
          <w:u w:val="single"/>
        </w:rPr>
        <w:t xml:space="preserve"> after giving due opportunity of being heard to the parties. The ultimate object of determination of the </w:t>
      </w:r>
      <w:r w:rsidR="00B64E07" w:rsidRPr="00975123">
        <w:rPr>
          <w:rFonts w:ascii="Verdana" w:hAnsi="Verdana"/>
          <w:b/>
          <w:i/>
          <w:sz w:val="24"/>
          <w:szCs w:val="24"/>
          <w:u w:val="single"/>
        </w:rPr>
        <w:t>interlocutory of application, petition or representation is for a complete and effective disposal of the section 245Q (1) application. It follows that the power thereunder is meant to be exercised before the disposal of the application filed under section 245Q (1) of the Act and not thereafter.”</w:t>
      </w:r>
      <w:r w:rsidR="00B64E07" w:rsidRPr="00975123">
        <w:rPr>
          <w:rFonts w:ascii="Verdana" w:hAnsi="Verdana"/>
          <w:sz w:val="24"/>
          <w:szCs w:val="24"/>
          <w:u w:val="single"/>
        </w:rPr>
        <w:t xml:space="preserve"> </w:t>
      </w:r>
      <w:r w:rsidR="00975123">
        <w:rPr>
          <w:rFonts w:ascii="Verdana" w:hAnsi="Verdana"/>
          <w:sz w:val="24"/>
          <w:szCs w:val="24"/>
          <w:u w:val="single"/>
        </w:rPr>
        <w:t>[</w:t>
      </w:r>
      <w:r w:rsidR="00975123">
        <w:rPr>
          <w:rFonts w:ascii="Verdana" w:hAnsi="Verdana"/>
          <w:sz w:val="24"/>
          <w:szCs w:val="24"/>
        </w:rPr>
        <w:t xml:space="preserve">Emphasis supplied]. </w:t>
      </w:r>
      <w:r w:rsidR="00B64E07">
        <w:rPr>
          <w:rFonts w:ascii="Verdana" w:hAnsi="Verdana"/>
          <w:sz w:val="24"/>
          <w:szCs w:val="24"/>
        </w:rPr>
        <w:t>It further held that the Rule 5 cannot be invoked after the pronouncement of the ruling.</w:t>
      </w:r>
      <w:r w:rsidR="003449EA">
        <w:rPr>
          <w:rFonts w:ascii="Verdana" w:hAnsi="Verdana"/>
          <w:sz w:val="24"/>
          <w:szCs w:val="24"/>
        </w:rPr>
        <w:t xml:space="preserve"> </w:t>
      </w:r>
    </w:p>
    <w:p w14:paraId="63864797" w14:textId="77777777" w:rsidR="00631C9C" w:rsidRDefault="00631C9C" w:rsidP="009C2B38">
      <w:pPr>
        <w:pStyle w:val="ListParagraph"/>
        <w:ind w:left="1080"/>
        <w:rPr>
          <w:rFonts w:ascii="Verdana" w:hAnsi="Verdana"/>
          <w:sz w:val="24"/>
          <w:szCs w:val="24"/>
        </w:rPr>
      </w:pPr>
    </w:p>
    <w:p w14:paraId="71B5E729" w14:textId="67FC31A3" w:rsidR="009C2B38" w:rsidRDefault="0086232F" w:rsidP="009C2B38">
      <w:pPr>
        <w:pStyle w:val="ListParagraph"/>
        <w:ind w:left="1080"/>
        <w:rPr>
          <w:rFonts w:ascii="Verdana" w:hAnsi="Verdana"/>
          <w:sz w:val="24"/>
          <w:szCs w:val="24"/>
        </w:rPr>
      </w:pPr>
      <w:r w:rsidRPr="00975123">
        <w:rPr>
          <w:rFonts w:ascii="Verdana" w:hAnsi="Verdana"/>
          <w:b/>
          <w:sz w:val="24"/>
          <w:szCs w:val="24"/>
        </w:rPr>
        <w:t>Rule (5)</w:t>
      </w:r>
      <w:r w:rsidR="00BB580E">
        <w:rPr>
          <w:rFonts w:ascii="Verdana" w:hAnsi="Verdana"/>
          <w:sz w:val="24"/>
          <w:szCs w:val="24"/>
        </w:rPr>
        <w:t xml:space="preserve"> for the sake of ready reference</w:t>
      </w:r>
      <w:r>
        <w:rPr>
          <w:rFonts w:ascii="Verdana" w:hAnsi="Verdana"/>
          <w:sz w:val="24"/>
          <w:szCs w:val="24"/>
        </w:rPr>
        <w:t xml:space="preserve"> is reproduced as under:</w:t>
      </w:r>
    </w:p>
    <w:p w14:paraId="104C9564" w14:textId="77777777" w:rsidR="00B64E07" w:rsidRDefault="00B64E07" w:rsidP="009C2B38">
      <w:pPr>
        <w:pStyle w:val="ListParagraph"/>
        <w:ind w:left="1080"/>
        <w:rPr>
          <w:rFonts w:ascii="Verdana" w:hAnsi="Verdana"/>
          <w:sz w:val="24"/>
          <w:szCs w:val="24"/>
        </w:rPr>
      </w:pPr>
    </w:p>
    <w:p w14:paraId="74F2A08B" w14:textId="69744782" w:rsidR="0086232F" w:rsidRDefault="0086232F" w:rsidP="009C2B38">
      <w:pPr>
        <w:pStyle w:val="ListParagraph"/>
        <w:ind w:left="1080"/>
        <w:rPr>
          <w:rFonts w:ascii="Verdana" w:hAnsi="Verdana"/>
          <w:b/>
          <w:sz w:val="24"/>
          <w:szCs w:val="24"/>
        </w:rPr>
      </w:pPr>
      <w:r>
        <w:rPr>
          <w:rFonts w:ascii="Verdana" w:hAnsi="Verdana"/>
          <w:sz w:val="24"/>
          <w:szCs w:val="24"/>
        </w:rPr>
        <w:t>“</w:t>
      </w:r>
      <w:r w:rsidRPr="0086232F">
        <w:rPr>
          <w:rFonts w:ascii="Verdana" w:hAnsi="Verdana"/>
          <w:b/>
          <w:sz w:val="24"/>
          <w:szCs w:val="24"/>
        </w:rPr>
        <w:t>Powers of the Authority</w:t>
      </w:r>
    </w:p>
    <w:p w14:paraId="31CB9087" w14:textId="47BECF2C" w:rsidR="0086232F" w:rsidRDefault="0086232F" w:rsidP="009C2B38">
      <w:pPr>
        <w:pStyle w:val="ListParagraph"/>
        <w:ind w:left="1080"/>
        <w:rPr>
          <w:rFonts w:ascii="Verdana" w:hAnsi="Verdana"/>
          <w:sz w:val="24"/>
          <w:szCs w:val="24"/>
        </w:rPr>
      </w:pPr>
      <w:r>
        <w:rPr>
          <w:rFonts w:ascii="Verdana" w:hAnsi="Verdana"/>
          <w:sz w:val="24"/>
          <w:szCs w:val="24"/>
        </w:rPr>
        <w:t xml:space="preserve">5. The Authority shall hear and determine the application made under sub-section (1) of Section 245Q of the Act </w:t>
      </w:r>
      <w:r w:rsidRPr="0086232F">
        <w:rPr>
          <w:rFonts w:ascii="Verdana" w:hAnsi="Verdana"/>
          <w:b/>
          <w:i/>
          <w:sz w:val="24"/>
          <w:szCs w:val="24"/>
          <w:u w:val="single"/>
        </w:rPr>
        <w:t>and such other applications, petitions and representations of an interlocutory, incidental or ancillary nature as may be necessary for a complete and effective disposal of the application,</w:t>
      </w:r>
      <w:r>
        <w:rPr>
          <w:rFonts w:ascii="Verdana" w:hAnsi="Verdana"/>
          <w:sz w:val="24"/>
          <w:szCs w:val="24"/>
        </w:rPr>
        <w:t xml:space="preserve"> as the Chairman may by general or special order direct.” [Emphasis supplied]</w:t>
      </w:r>
    </w:p>
    <w:p w14:paraId="7E1EA68B" w14:textId="78E82159" w:rsidR="009C376E" w:rsidRDefault="009C376E" w:rsidP="009C2B38">
      <w:pPr>
        <w:pStyle w:val="ListParagraph"/>
        <w:ind w:left="1080"/>
        <w:rPr>
          <w:rFonts w:ascii="Verdana" w:hAnsi="Verdana"/>
          <w:sz w:val="24"/>
          <w:szCs w:val="24"/>
        </w:rPr>
      </w:pPr>
    </w:p>
    <w:p w14:paraId="6B644446" w14:textId="77777777" w:rsidR="009C376E" w:rsidRDefault="009C376E" w:rsidP="009C376E">
      <w:pPr>
        <w:pStyle w:val="ListParagraph"/>
        <w:ind w:left="1080"/>
        <w:rPr>
          <w:rFonts w:ascii="Verdana" w:hAnsi="Verdana"/>
          <w:sz w:val="24"/>
          <w:szCs w:val="24"/>
        </w:rPr>
      </w:pPr>
      <w:r>
        <w:rPr>
          <w:rFonts w:ascii="Verdana" w:hAnsi="Verdana"/>
          <w:sz w:val="24"/>
          <w:szCs w:val="24"/>
        </w:rPr>
        <w:t>Once the intervenors who wished to be heard as intervenors</w:t>
      </w:r>
    </w:p>
    <w:p w14:paraId="658F6088" w14:textId="77777777" w:rsidR="00BB580E" w:rsidRDefault="009C376E" w:rsidP="009C2B38">
      <w:pPr>
        <w:pStyle w:val="ListParagraph"/>
        <w:ind w:left="1080"/>
        <w:rPr>
          <w:rFonts w:ascii="Verdana" w:hAnsi="Verdana"/>
          <w:sz w:val="24"/>
          <w:szCs w:val="24"/>
        </w:rPr>
      </w:pPr>
      <w:r>
        <w:rPr>
          <w:rFonts w:ascii="Verdana" w:hAnsi="Verdana"/>
          <w:sz w:val="24"/>
          <w:szCs w:val="24"/>
        </w:rPr>
        <w:t xml:space="preserve">&amp; </w:t>
      </w:r>
      <w:r w:rsidR="004C569C">
        <w:rPr>
          <w:rFonts w:ascii="Verdana" w:hAnsi="Verdana"/>
          <w:sz w:val="24"/>
          <w:szCs w:val="24"/>
        </w:rPr>
        <w:t xml:space="preserve">filed </w:t>
      </w:r>
      <w:r>
        <w:rPr>
          <w:rFonts w:ascii="Verdana" w:hAnsi="Verdana"/>
          <w:sz w:val="24"/>
          <w:szCs w:val="24"/>
        </w:rPr>
        <w:t xml:space="preserve">their </w:t>
      </w:r>
      <w:r w:rsidR="004C569C">
        <w:rPr>
          <w:rFonts w:ascii="Verdana" w:hAnsi="Verdana"/>
          <w:sz w:val="24"/>
          <w:szCs w:val="24"/>
        </w:rPr>
        <w:t xml:space="preserve">applications which </w:t>
      </w:r>
      <w:r>
        <w:rPr>
          <w:rFonts w:ascii="Verdana" w:hAnsi="Verdana"/>
          <w:sz w:val="24"/>
          <w:szCs w:val="24"/>
        </w:rPr>
        <w:t>were admitted after hearing all the parties concerned, the Hon’ble Authority made them necessary parties as co-applicants having the same cause as was of the EPSL</w:t>
      </w:r>
      <w:r w:rsidR="007677FE">
        <w:rPr>
          <w:rFonts w:ascii="Verdana" w:hAnsi="Verdana"/>
          <w:sz w:val="24"/>
          <w:szCs w:val="24"/>
        </w:rPr>
        <w:t xml:space="preserve">. </w:t>
      </w:r>
      <w:r w:rsidR="004C569C">
        <w:rPr>
          <w:rFonts w:ascii="Verdana" w:hAnsi="Verdana"/>
          <w:sz w:val="24"/>
          <w:szCs w:val="24"/>
        </w:rPr>
        <w:t xml:space="preserve">This conclusion would get supported from a conjoint reading of the aforesaid Rules (5) and (28) with Rule (2) (d) &amp; (2) (k) of the Authority Procedure Rules. </w:t>
      </w:r>
      <w:r w:rsidR="007677FE">
        <w:rPr>
          <w:rFonts w:ascii="Verdana" w:hAnsi="Verdana"/>
          <w:sz w:val="24"/>
          <w:szCs w:val="24"/>
        </w:rPr>
        <w:t>The withdrawal order passed on the application of EPSL was also heard along with the intervenors and Revenue and the application filed was dismissed as withdrawn</w:t>
      </w:r>
      <w:r w:rsidR="004C569C">
        <w:rPr>
          <w:rFonts w:ascii="Verdana" w:hAnsi="Verdana"/>
          <w:sz w:val="24"/>
          <w:szCs w:val="24"/>
        </w:rPr>
        <w:t xml:space="preserve"> and the said order of withdrawal </w:t>
      </w:r>
      <w:r w:rsidR="007677FE">
        <w:rPr>
          <w:rFonts w:ascii="Verdana" w:hAnsi="Verdana"/>
          <w:sz w:val="24"/>
          <w:szCs w:val="24"/>
        </w:rPr>
        <w:t>shall have an equal effect o</w:t>
      </w:r>
      <w:r w:rsidR="004C569C">
        <w:rPr>
          <w:rFonts w:ascii="Verdana" w:hAnsi="Verdana"/>
          <w:sz w:val="24"/>
          <w:szCs w:val="24"/>
        </w:rPr>
        <w:t>n</w:t>
      </w:r>
      <w:r w:rsidR="007677FE">
        <w:rPr>
          <w:rFonts w:ascii="Verdana" w:hAnsi="Verdana"/>
          <w:sz w:val="24"/>
          <w:szCs w:val="24"/>
        </w:rPr>
        <w:t xml:space="preserve"> the petitions of the intervenors. </w:t>
      </w:r>
    </w:p>
    <w:p w14:paraId="1D5A062E" w14:textId="77777777" w:rsidR="00BB580E" w:rsidRDefault="00BB580E" w:rsidP="009C2B38">
      <w:pPr>
        <w:pStyle w:val="ListParagraph"/>
        <w:ind w:left="1080"/>
        <w:rPr>
          <w:rFonts w:ascii="Verdana" w:hAnsi="Verdana"/>
          <w:sz w:val="24"/>
          <w:szCs w:val="24"/>
        </w:rPr>
      </w:pPr>
    </w:p>
    <w:p w14:paraId="1F6B2B16" w14:textId="487721D7" w:rsidR="007677FE" w:rsidRDefault="007677FE" w:rsidP="009C2B38">
      <w:pPr>
        <w:pStyle w:val="ListParagraph"/>
        <w:ind w:left="1080"/>
        <w:rPr>
          <w:rFonts w:ascii="Verdana" w:hAnsi="Verdana"/>
          <w:sz w:val="24"/>
          <w:szCs w:val="24"/>
        </w:rPr>
      </w:pPr>
      <w:r>
        <w:rPr>
          <w:rFonts w:ascii="Verdana" w:hAnsi="Verdana"/>
          <w:sz w:val="24"/>
          <w:szCs w:val="24"/>
        </w:rPr>
        <w:t>This would be clear from the provisions of Rule 28 of the Authority Procedure Rules, which reads as under:</w:t>
      </w:r>
    </w:p>
    <w:p w14:paraId="3ADD41BF" w14:textId="77777777" w:rsidR="00A322D6" w:rsidRDefault="00A322D6" w:rsidP="009C2B38">
      <w:pPr>
        <w:pStyle w:val="ListParagraph"/>
        <w:ind w:left="1080"/>
        <w:rPr>
          <w:rFonts w:ascii="Verdana" w:hAnsi="Verdana"/>
          <w:sz w:val="24"/>
          <w:szCs w:val="24"/>
        </w:rPr>
      </w:pPr>
    </w:p>
    <w:p w14:paraId="03691C8D" w14:textId="21ABDAB8" w:rsidR="007677FE" w:rsidRDefault="009A1551" w:rsidP="009C2B38">
      <w:pPr>
        <w:pStyle w:val="ListParagraph"/>
        <w:ind w:left="1080"/>
        <w:rPr>
          <w:rFonts w:ascii="Verdana" w:hAnsi="Verdana"/>
          <w:sz w:val="24"/>
          <w:szCs w:val="24"/>
        </w:rPr>
      </w:pPr>
      <w:r w:rsidRPr="007677FE">
        <w:rPr>
          <w:rFonts w:ascii="Verdana" w:hAnsi="Verdana"/>
          <w:b/>
          <w:sz w:val="24"/>
          <w:szCs w:val="24"/>
        </w:rPr>
        <w:t>“Procedure</w:t>
      </w:r>
      <w:r w:rsidR="007677FE" w:rsidRPr="007677FE">
        <w:rPr>
          <w:rFonts w:ascii="Verdana" w:hAnsi="Verdana"/>
          <w:b/>
          <w:sz w:val="24"/>
          <w:szCs w:val="24"/>
        </w:rPr>
        <w:t xml:space="preserve"> in case of other applications</w:t>
      </w:r>
      <w:r w:rsidR="00BB580E">
        <w:rPr>
          <w:rFonts w:ascii="Verdana" w:hAnsi="Verdana"/>
          <w:b/>
          <w:sz w:val="24"/>
          <w:szCs w:val="24"/>
        </w:rPr>
        <w:t>-</w:t>
      </w:r>
    </w:p>
    <w:p w14:paraId="7C544119" w14:textId="1CA1C34E" w:rsidR="009C376E" w:rsidRPr="007677FE" w:rsidRDefault="007677FE" w:rsidP="009C2B38">
      <w:pPr>
        <w:pStyle w:val="ListParagraph"/>
        <w:ind w:left="1080"/>
        <w:rPr>
          <w:rFonts w:ascii="Verdana" w:hAnsi="Verdana"/>
          <w:sz w:val="24"/>
          <w:szCs w:val="24"/>
        </w:rPr>
      </w:pPr>
      <w:r w:rsidRPr="007677FE">
        <w:rPr>
          <w:rFonts w:ascii="Verdana" w:hAnsi="Verdana"/>
          <w:b/>
          <w:sz w:val="24"/>
          <w:szCs w:val="24"/>
          <w:u w:val="single"/>
        </w:rPr>
        <w:t>28. The provisions contained in these Rules for the hearing and disposal of application under section 245Q (1) shall apply,</w:t>
      </w:r>
      <w:r w:rsidRPr="007677FE">
        <w:rPr>
          <w:rFonts w:ascii="Verdana" w:hAnsi="Verdana"/>
          <w:b/>
          <w:i/>
          <w:sz w:val="24"/>
          <w:szCs w:val="24"/>
          <w:u w:val="single"/>
        </w:rPr>
        <w:t xml:space="preserve"> mutatis mutandis, to the hearing and disposal of all other applications, petitions and representations before the Authority.”</w:t>
      </w:r>
      <w:r w:rsidRPr="007677FE">
        <w:rPr>
          <w:rFonts w:ascii="Verdana" w:hAnsi="Verdana"/>
          <w:b/>
          <w:sz w:val="24"/>
          <w:szCs w:val="24"/>
          <w:u w:val="single"/>
        </w:rPr>
        <w:t xml:space="preserve"> </w:t>
      </w:r>
      <w:r>
        <w:rPr>
          <w:rFonts w:ascii="Verdana" w:hAnsi="Verdana"/>
          <w:sz w:val="24"/>
          <w:szCs w:val="24"/>
        </w:rPr>
        <w:t>[Emphasis supplied]</w:t>
      </w:r>
      <w:r w:rsidRPr="007677FE">
        <w:rPr>
          <w:rFonts w:ascii="Verdana" w:hAnsi="Verdana"/>
          <w:sz w:val="24"/>
          <w:szCs w:val="24"/>
        </w:rPr>
        <w:t xml:space="preserve"> </w:t>
      </w:r>
    </w:p>
    <w:p w14:paraId="2ACA89C9" w14:textId="77777777" w:rsidR="00E01107" w:rsidRDefault="00E01107" w:rsidP="009C2B38">
      <w:pPr>
        <w:pStyle w:val="ListParagraph"/>
        <w:ind w:left="1080"/>
        <w:rPr>
          <w:rFonts w:ascii="Verdana" w:hAnsi="Verdana"/>
          <w:sz w:val="24"/>
          <w:szCs w:val="24"/>
        </w:rPr>
      </w:pPr>
    </w:p>
    <w:p w14:paraId="62982313" w14:textId="17A982BF" w:rsidR="002B4E16" w:rsidRDefault="003449EA" w:rsidP="009C2B38">
      <w:pPr>
        <w:pStyle w:val="ListParagraph"/>
        <w:ind w:left="1080"/>
        <w:rPr>
          <w:rFonts w:ascii="Verdana" w:hAnsi="Verdana"/>
          <w:sz w:val="24"/>
          <w:szCs w:val="24"/>
        </w:rPr>
      </w:pPr>
      <w:r>
        <w:rPr>
          <w:rFonts w:ascii="Verdana" w:hAnsi="Verdana"/>
          <w:sz w:val="24"/>
          <w:szCs w:val="24"/>
        </w:rPr>
        <w:t xml:space="preserve">It is in this context that it was submitted for &amp; on behalf of Revenue that the joining of the two present applicants in the Application No 982 of 2010 filed by EPSL requires to be </w:t>
      </w:r>
      <w:r w:rsidR="00DE5403">
        <w:rPr>
          <w:rFonts w:ascii="Verdana" w:hAnsi="Verdana"/>
          <w:sz w:val="24"/>
          <w:szCs w:val="24"/>
        </w:rPr>
        <w:t xml:space="preserve">read, </w:t>
      </w:r>
      <w:r>
        <w:rPr>
          <w:rFonts w:ascii="Verdana" w:hAnsi="Verdana"/>
          <w:sz w:val="24"/>
          <w:szCs w:val="24"/>
        </w:rPr>
        <w:t>appreciated and interpreted keeping in view the relevant provisions containe</w:t>
      </w:r>
      <w:r w:rsidR="00772ECB">
        <w:rPr>
          <w:rFonts w:ascii="Verdana" w:hAnsi="Verdana"/>
          <w:sz w:val="24"/>
          <w:szCs w:val="24"/>
        </w:rPr>
        <w:t>d</w:t>
      </w:r>
      <w:r>
        <w:rPr>
          <w:rFonts w:ascii="Verdana" w:hAnsi="Verdana"/>
          <w:sz w:val="24"/>
          <w:szCs w:val="24"/>
        </w:rPr>
        <w:t xml:space="preserve"> in Order I</w:t>
      </w:r>
      <w:r w:rsidR="00772ECB">
        <w:rPr>
          <w:rFonts w:ascii="Verdana" w:hAnsi="Verdana"/>
          <w:sz w:val="24"/>
          <w:szCs w:val="24"/>
        </w:rPr>
        <w:t xml:space="preserve">, Rule 1, </w:t>
      </w:r>
      <w:r w:rsidR="00746C7D">
        <w:rPr>
          <w:rFonts w:ascii="Verdana" w:hAnsi="Verdana"/>
          <w:sz w:val="24"/>
          <w:szCs w:val="24"/>
        </w:rPr>
        <w:t>Rule 8</w:t>
      </w:r>
      <w:r w:rsidR="00460BCA">
        <w:rPr>
          <w:rFonts w:ascii="Verdana" w:hAnsi="Verdana"/>
          <w:sz w:val="24"/>
          <w:szCs w:val="24"/>
        </w:rPr>
        <w:t xml:space="preserve">A, </w:t>
      </w:r>
      <w:r w:rsidR="00772ECB">
        <w:rPr>
          <w:rFonts w:ascii="Verdana" w:hAnsi="Verdana"/>
          <w:sz w:val="24"/>
          <w:szCs w:val="24"/>
        </w:rPr>
        <w:t xml:space="preserve">Rule 10(2), and Order XXXIII, Rule 1, Rule 3 and Rule 5 </w:t>
      </w:r>
      <w:r>
        <w:rPr>
          <w:rFonts w:ascii="Verdana" w:hAnsi="Verdana"/>
          <w:sz w:val="24"/>
          <w:szCs w:val="24"/>
        </w:rPr>
        <w:t xml:space="preserve">of the Civil Procedure Code, 1908 </w:t>
      </w:r>
      <w:r w:rsidR="008F1157">
        <w:rPr>
          <w:rFonts w:ascii="Verdana" w:hAnsi="Verdana"/>
          <w:sz w:val="24"/>
          <w:szCs w:val="24"/>
        </w:rPr>
        <w:t xml:space="preserve">(CPC, in short) </w:t>
      </w:r>
      <w:r w:rsidR="007677FE">
        <w:rPr>
          <w:rFonts w:ascii="Verdana" w:hAnsi="Verdana"/>
          <w:sz w:val="24"/>
          <w:szCs w:val="24"/>
        </w:rPr>
        <w:t>as regards the joinder of parties and withdrawal there</w:t>
      </w:r>
      <w:r w:rsidR="002B4E16">
        <w:rPr>
          <w:rFonts w:ascii="Verdana" w:hAnsi="Verdana"/>
          <w:sz w:val="24"/>
          <w:szCs w:val="24"/>
        </w:rPr>
        <w:t>of in terms of Rule (3) &amp; (5) of the Order 23 of CPC.</w:t>
      </w:r>
      <w:r w:rsidR="007677FE">
        <w:rPr>
          <w:rFonts w:ascii="Verdana" w:hAnsi="Verdana"/>
          <w:sz w:val="24"/>
          <w:szCs w:val="24"/>
        </w:rPr>
        <w:t xml:space="preserve"> </w:t>
      </w:r>
      <w:r>
        <w:rPr>
          <w:rFonts w:ascii="Verdana" w:hAnsi="Verdana"/>
          <w:sz w:val="24"/>
          <w:szCs w:val="24"/>
        </w:rPr>
        <w:t>case laws</w:t>
      </w:r>
      <w:r w:rsidR="00DE5403">
        <w:rPr>
          <w:rFonts w:ascii="Verdana" w:hAnsi="Verdana"/>
          <w:sz w:val="24"/>
          <w:szCs w:val="24"/>
        </w:rPr>
        <w:t xml:space="preserve"> </w:t>
      </w:r>
      <w:r w:rsidR="002B4E16">
        <w:rPr>
          <w:rFonts w:ascii="Verdana" w:hAnsi="Verdana"/>
          <w:sz w:val="24"/>
          <w:szCs w:val="24"/>
        </w:rPr>
        <w:t>interpreting</w:t>
      </w:r>
      <w:r w:rsidR="00DE5403">
        <w:rPr>
          <w:rFonts w:ascii="Verdana" w:hAnsi="Verdana"/>
          <w:sz w:val="24"/>
          <w:szCs w:val="24"/>
        </w:rPr>
        <w:t xml:space="preserve"> </w:t>
      </w:r>
      <w:r w:rsidR="008F1157">
        <w:rPr>
          <w:rFonts w:ascii="Verdana" w:hAnsi="Verdana"/>
          <w:sz w:val="24"/>
          <w:szCs w:val="24"/>
        </w:rPr>
        <w:t>analogous provisions</w:t>
      </w:r>
      <w:r w:rsidR="002B4E16">
        <w:rPr>
          <w:rFonts w:ascii="Verdana" w:hAnsi="Verdana"/>
          <w:sz w:val="24"/>
          <w:szCs w:val="24"/>
        </w:rPr>
        <w:t xml:space="preserve"> of CPC</w:t>
      </w:r>
      <w:r w:rsidR="008F1157">
        <w:rPr>
          <w:rFonts w:ascii="Verdana" w:hAnsi="Verdana"/>
          <w:sz w:val="24"/>
          <w:szCs w:val="24"/>
        </w:rPr>
        <w:t xml:space="preserve"> </w:t>
      </w:r>
      <w:r w:rsidR="002B4E16">
        <w:rPr>
          <w:rFonts w:ascii="Verdana" w:hAnsi="Verdana"/>
          <w:sz w:val="24"/>
          <w:szCs w:val="24"/>
        </w:rPr>
        <w:t>wer</w:t>
      </w:r>
      <w:r w:rsidR="008F1157">
        <w:rPr>
          <w:rFonts w:ascii="Verdana" w:hAnsi="Verdana"/>
          <w:sz w:val="24"/>
          <w:szCs w:val="24"/>
        </w:rPr>
        <w:t xml:space="preserve">e </w:t>
      </w:r>
      <w:r w:rsidR="002B4E16">
        <w:rPr>
          <w:rFonts w:ascii="Verdana" w:hAnsi="Verdana"/>
          <w:sz w:val="24"/>
          <w:szCs w:val="24"/>
        </w:rPr>
        <w:t>relied upon and referred to, in order to canvass that:</w:t>
      </w:r>
    </w:p>
    <w:p w14:paraId="08CD066E" w14:textId="2732E4BF" w:rsidR="002B4E16" w:rsidRDefault="00BB45B3" w:rsidP="00BB45B3">
      <w:pPr>
        <w:ind w:left="1080"/>
        <w:rPr>
          <w:rFonts w:ascii="Verdana" w:hAnsi="Verdana"/>
          <w:sz w:val="24"/>
          <w:szCs w:val="24"/>
        </w:rPr>
      </w:pPr>
      <w:r>
        <w:rPr>
          <w:rFonts w:ascii="Verdana" w:hAnsi="Verdana"/>
          <w:sz w:val="24"/>
          <w:szCs w:val="24"/>
        </w:rPr>
        <w:t>(i)</w:t>
      </w:r>
      <w:r w:rsidRPr="00BB45B3">
        <w:rPr>
          <w:rFonts w:ascii="Verdana" w:hAnsi="Verdana"/>
          <w:sz w:val="24"/>
          <w:szCs w:val="24"/>
        </w:rPr>
        <w:t>The intervenors</w:t>
      </w:r>
      <w:r>
        <w:rPr>
          <w:rFonts w:ascii="Verdana" w:hAnsi="Verdana"/>
          <w:sz w:val="24"/>
          <w:szCs w:val="24"/>
        </w:rPr>
        <w:t>, that is, the two present applicants</w:t>
      </w:r>
      <w:r w:rsidRPr="00BB45B3">
        <w:rPr>
          <w:rFonts w:ascii="Verdana" w:hAnsi="Verdana"/>
          <w:sz w:val="24"/>
          <w:szCs w:val="24"/>
        </w:rPr>
        <w:t xml:space="preserve"> require to be treated as co-applicants</w:t>
      </w:r>
      <w:r>
        <w:rPr>
          <w:rFonts w:ascii="Verdana" w:hAnsi="Verdana"/>
          <w:sz w:val="24"/>
          <w:szCs w:val="24"/>
        </w:rPr>
        <w:t>;</w:t>
      </w:r>
    </w:p>
    <w:p w14:paraId="667E3E8A" w14:textId="13761BBE" w:rsidR="00BB45B3" w:rsidRDefault="00BB45B3" w:rsidP="00BB45B3">
      <w:pPr>
        <w:ind w:left="1080"/>
        <w:rPr>
          <w:rFonts w:ascii="Verdana" w:hAnsi="Verdana"/>
          <w:sz w:val="24"/>
          <w:szCs w:val="24"/>
        </w:rPr>
      </w:pPr>
      <w:r>
        <w:rPr>
          <w:rFonts w:ascii="Verdana" w:hAnsi="Verdana"/>
          <w:sz w:val="24"/>
          <w:szCs w:val="24"/>
        </w:rPr>
        <w:lastRenderedPageBreak/>
        <w:t>(ii) the two present applicants can’t re-enter as applicants in fresh applications once the application by EPSL is dismissed as withdrawn and liberty is granted only in “other” proceedings; and</w:t>
      </w:r>
    </w:p>
    <w:p w14:paraId="3512FE7F" w14:textId="49528B41" w:rsidR="00BB45B3" w:rsidRPr="00BB45B3" w:rsidRDefault="00BB45B3" w:rsidP="00BB45B3">
      <w:pPr>
        <w:ind w:left="1080"/>
        <w:rPr>
          <w:rFonts w:ascii="Verdana" w:hAnsi="Verdana"/>
          <w:sz w:val="24"/>
          <w:szCs w:val="24"/>
        </w:rPr>
      </w:pPr>
      <w:r>
        <w:rPr>
          <w:rFonts w:ascii="Verdana" w:hAnsi="Verdana"/>
          <w:sz w:val="24"/>
          <w:szCs w:val="24"/>
        </w:rPr>
        <w:t xml:space="preserve">(iii) </w:t>
      </w:r>
      <w:r w:rsidR="00174BD1">
        <w:rPr>
          <w:rFonts w:ascii="Verdana" w:hAnsi="Verdana"/>
          <w:sz w:val="24"/>
          <w:szCs w:val="24"/>
        </w:rPr>
        <w:t xml:space="preserve">the withdrawal by EPSL can’t be unilateral  for EPSL alone once the two present applicants joined the application of EPSL as intervenors and were heard at the time of withdrawal by EPSL &amp; the two present applicants acquiesced in the withdrawal, particularly when analogous provisions of Rule (3) &amp; Rule (5) of Order 23 of CPC are </w:t>
      </w:r>
      <w:r w:rsidR="00C23666">
        <w:rPr>
          <w:rFonts w:ascii="Verdana" w:hAnsi="Verdana"/>
          <w:sz w:val="24"/>
          <w:szCs w:val="24"/>
        </w:rPr>
        <w:t>read with the relevant rules of the Authority Procedure Rules referred to above for a complete and effective disposal of the application which shall include application of the intervenors as well in terms of Rule (5) of the Authority Procedure Rules as reproduced above. .</w:t>
      </w:r>
    </w:p>
    <w:p w14:paraId="0972AADD" w14:textId="77777777" w:rsidR="002B4E16" w:rsidRDefault="002B4E16" w:rsidP="009C2B38">
      <w:pPr>
        <w:pStyle w:val="ListParagraph"/>
        <w:ind w:left="1080"/>
        <w:rPr>
          <w:rFonts w:ascii="Verdana" w:hAnsi="Verdana"/>
          <w:sz w:val="24"/>
          <w:szCs w:val="24"/>
        </w:rPr>
      </w:pPr>
    </w:p>
    <w:p w14:paraId="3FB4BFE0" w14:textId="77777777" w:rsidR="001C01F4" w:rsidRDefault="00772ECB" w:rsidP="009C2B38">
      <w:pPr>
        <w:pStyle w:val="ListParagraph"/>
        <w:ind w:left="1080"/>
        <w:rPr>
          <w:rFonts w:ascii="Verdana" w:hAnsi="Verdana"/>
          <w:sz w:val="24"/>
          <w:szCs w:val="24"/>
        </w:rPr>
      </w:pPr>
      <w:r>
        <w:rPr>
          <w:rFonts w:ascii="Verdana" w:hAnsi="Verdana"/>
          <w:sz w:val="24"/>
          <w:szCs w:val="24"/>
        </w:rPr>
        <w:t xml:space="preserve">The compilation volume </w:t>
      </w:r>
      <w:r w:rsidR="00BB262D">
        <w:rPr>
          <w:rFonts w:ascii="Verdana" w:hAnsi="Verdana"/>
          <w:sz w:val="24"/>
          <w:szCs w:val="24"/>
        </w:rPr>
        <w:t xml:space="preserve">(2) </w:t>
      </w:r>
      <w:r>
        <w:rPr>
          <w:rFonts w:ascii="Verdana" w:hAnsi="Verdana"/>
          <w:sz w:val="24"/>
          <w:szCs w:val="24"/>
        </w:rPr>
        <w:t>submitted</w:t>
      </w:r>
      <w:r w:rsidR="00BB262D">
        <w:rPr>
          <w:rFonts w:ascii="Verdana" w:hAnsi="Verdana"/>
          <w:sz w:val="24"/>
          <w:szCs w:val="24"/>
        </w:rPr>
        <w:t xml:space="preserve"> on 19.07.2019</w:t>
      </w:r>
      <w:r>
        <w:rPr>
          <w:rFonts w:ascii="Verdana" w:hAnsi="Verdana"/>
          <w:sz w:val="24"/>
          <w:szCs w:val="24"/>
        </w:rPr>
        <w:t xml:space="preserve"> by Revenue contains the copies of these provisions and related case laws which were not only submitted in the course of hearing but also referred to</w:t>
      </w:r>
      <w:r w:rsidR="003E6118">
        <w:rPr>
          <w:rFonts w:ascii="Verdana" w:hAnsi="Verdana"/>
          <w:sz w:val="24"/>
          <w:szCs w:val="24"/>
        </w:rPr>
        <w:t xml:space="preserve"> and explained</w:t>
      </w:r>
      <w:r>
        <w:rPr>
          <w:rFonts w:ascii="Verdana" w:hAnsi="Verdana"/>
          <w:sz w:val="24"/>
          <w:szCs w:val="24"/>
        </w:rPr>
        <w:t xml:space="preserve"> in order to draw support in favour of Revenue’s submissions</w:t>
      </w:r>
      <w:r w:rsidR="001C01F4">
        <w:rPr>
          <w:rFonts w:ascii="Verdana" w:hAnsi="Verdana"/>
          <w:sz w:val="24"/>
          <w:szCs w:val="24"/>
        </w:rPr>
        <w:t>. For the sake of ready reference these provisions are reproduced as under:</w:t>
      </w:r>
      <w:r w:rsidR="003E6118">
        <w:rPr>
          <w:rFonts w:ascii="Verdana" w:hAnsi="Verdana"/>
          <w:sz w:val="24"/>
          <w:szCs w:val="24"/>
        </w:rPr>
        <w:t xml:space="preserve"> </w:t>
      </w:r>
    </w:p>
    <w:p w14:paraId="0EDC989A" w14:textId="77777777" w:rsidR="001C01F4" w:rsidRDefault="001C01F4" w:rsidP="009C2B38">
      <w:pPr>
        <w:pStyle w:val="ListParagraph"/>
        <w:ind w:left="1080"/>
        <w:rPr>
          <w:rFonts w:ascii="Verdana" w:hAnsi="Verdana"/>
          <w:sz w:val="24"/>
          <w:szCs w:val="24"/>
        </w:rPr>
      </w:pPr>
    </w:p>
    <w:p w14:paraId="6D549928" w14:textId="77777777" w:rsidR="001C01F4" w:rsidRDefault="001C01F4" w:rsidP="009C2B38">
      <w:pPr>
        <w:pStyle w:val="ListParagraph"/>
        <w:ind w:left="1080"/>
        <w:rPr>
          <w:rFonts w:ascii="Verdana" w:hAnsi="Verdana"/>
          <w:sz w:val="24"/>
          <w:szCs w:val="24"/>
        </w:rPr>
      </w:pPr>
      <w:r w:rsidRPr="003354C0">
        <w:rPr>
          <w:rFonts w:ascii="Verdana" w:hAnsi="Verdana"/>
          <w:b/>
          <w:sz w:val="24"/>
          <w:szCs w:val="24"/>
        </w:rPr>
        <w:t>Rule (1), Order 1CPC</w:t>
      </w:r>
      <w:r>
        <w:rPr>
          <w:rFonts w:ascii="Verdana" w:hAnsi="Verdana"/>
          <w:sz w:val="24"/>
          <w:szCs w:val="24"/>
        </w:rPr>
        <w:t>: Who may be joined as plaintiffs- All persons may be joined in one suit as plaintiffs where-</w:t>
      </w:r>
    </w:p>
    <w:p w14:paraId="27665DA4" w14:textId="77777777" w:rsidR="001C01F4" w:rsidRDefault="001C01F4" w:rsidP="001C01F4">
      <w:pPr>
        <w:pStyle w:val="ListParagraph"/>
        <w:numPr>
          <w:ilvl w:val="0"/>
          <w:numId w:val="10"/>
        </w:numPr>
        <w:rPr>
          <w:rFonts w:ascii="Verdana" w:hAnsi="Verdana"/>
          <w:sz w:val="24"/>
          <w:szCs w:val="24"/>
        </w:rPr>
      </w:pPr>
      <w:r>
        <w:rPr>
          <w:rFonts w:ascii="Verdana" w:hAnsi="Verdana"/>
          <w:sz w:val="24"/>
          <w:szCs w:val="24"/>
        </w:rPr>
        <w:t>Any right of relief in respect of, or arising out of, the same act or transaction or series of acts or transactions is alleged to exist in such persons, whether jointly, severally or in the alternative; and</w:t>
      </w:r>
    </w:p>
    <w:p w14:paraId="47C03E43" w14:textId="77777777" w:rsidR="001C01F4" w:rsidRDefault="001C01F4" w:rsidP="001C01F4">
      <w:pPr>
        <w:pStyle w:val="ListParagraph"/>
        <w:numPr>
          <w:ilvl w:val="0"/>
          <w:numId w:val="10"/>
        </w:numPr>
        <w:rPr>
          <w:rFonts w:ascii="Verdana" w:hAnsi="Verdana"/>
          <w:sz w:val="24"/>
          <w:szCs w:val="24"/>
        </w:rPr>
      </w:pPr>
      <w:r>
        <w:rPr>
          <w:rFonts w:ascii="Verdana" w:hAnsi="Verdana"/>
          <w:sz w:val="24"/>
          <w:szCs w:val="24"/>
        </w:rPr>
        <w:t>If such persons brought separate suits, any common question of law or fact would arise.</w:t>
      </w:r>
    </w:p>
    <w:p w14:paraId="686D5B9C" w14:textId="77777777" w:rsidR="001C01F4" w:rsidRDefault="001C01F4" w:rsidP="001C01F4">
      <w:pPr>
        <w:ind w:left="1080"/>
        <w:rPr>
          <w:rFonts w:ascii="Verdana" w:hAnsi="Verdana"/>
          <w:sz w:val="24"/>
          <w:szCs w:val="24"/>
        </w:rPr>
      </w:pPr>
      <w:r w:rsidRPr="003354C0">
        <w:rPr>
          <w:rFonts w:ascii="Verdana" w:hAnsi="Verdana"/>
          <w:b/>
          <w:sz w:val="24"/>
          <w:szCs w:val="24"/>
        </w:rPr>
        <w:t>Rule 8A, Order1 CPC</w:t>
      </w:r>
      <w:r>
        <w:rPr>
          <w:rFonts w:ascii="Verdana" w:hAnsi="Verdana"/>
          <w:sz w:val="24"/>
          <w:szCs w:val="24"/>
        </w:rPr>
        <w:t>- Power of Court to permit a person or body of persons to present opinion or to take part in the proceedings-</w:t>
      </w:r>
    </w:p>
    <w:p w14:paraId="11511148" w14:textId="2543BC05" w:rsidR="001C01F4" w:rsidRDefault="001C01F4" w:rsidP="003354C0">
      <w:pPr>
        <w:ind w:left="1080"/>
        <w:rPr>
          <w:rFonts w:ascii="Verdana" w:hAnsi="Verdana"/>
          <w:sz w:val="24"/>
          <w:szCs w:val="24"/>
        </w:rPr>
      </w:pPr>
      <w:r>
        <w:rPr>
          <w:rFonts w:ascii="Verdana" w:hAnsi="Verdana"/>
          <w:sz w:val="24"/>
          <w:szCs w:val="24"/>
        </w:rPr>
        <w:t>While trying a suit, the Court may, if satisfied that a person or body of persons is interested in any question of law which is directly and substantially in issue in the suit and that it is necessary in the public interest to allow that person or body of pers</w:t>
      </w:r>
      <w:r w:rsidR="003354C0">
        <w:rPr>
          <w:rFonts w:ascii="Verdana" w:hAnsi="Verdana"/>
          <w:sz w:val="24"/>
          <w:szCs w:val="24"/>
        </w:rPr>
        <w:t>ons to present his or its opinion on that question of law, permit that person or body of persons to present such opinion and to take such part in the proceedings of the suit as the Court may specify.</w:t>
      </w:r>
    </w:p>
    <w:p w14:paraId="3290CA02" w14:textId="4C1EE2AD" w:rsidR="003354C0" w:rsidRDefault="003354C0" w:rsidP="003354C0">
      <w:pPr>
        <w:ind w:left="1080"/>
        <w:rPr>
          <w:rFonts w:ascii="Verdana" w:hAnsi="Verdana"/>
          <w:sz w:val="24"/>
          <w:szCs w:val="24"/>
        </w:rPr>
      </w:pPr>
      <w:r w:rsidRPr="003354C0">
        <w:rPr>
          <w:rFonts w:ascii="Verdana" w:hAnsi="Verdana"/>
          <w:b/>
          <w:sz w:val="24"/>
          <w:szCs w:val="24"/>
        </w:rPr>
        <w:t>Rule 10 (2), Order1 CPC</w:t>
      </w:r>
      <w:r>
        <w:rPr>
          <w:rFonts w:ascii="Verdana" w:hAnsi="Verdana"/>
          <w:sz w:val="24"/>
          <w:szCs w:val="24"/>
        </w:rPr>
        <w:t xml:space="preserve">- </w:t>
      </w:r>
      <w:r w:rsidRPr="003354C0">
        <w:rPr>
          <w:rFonts w:ascii="Verdana" w:hAnsi="Verdana"/>
          <w:b/>
          <w:sz w:val="24"/>
          <w:szCs w:val="24"/>
        </w:rPr>
        <w:t>Court may strike out or add parties</w:t>
      </w:r>
      <w:r>
        <w:rPr>
          <w:rFonts w:ascii="Verdana" w:hAnsi="Verdana"/>
          <w:sz w:val="24"/>
          <w:szCs w:val="24"/>
        </w:rPr>
        <w:t xml:space="preserve">- </w:t>
      </w:r>
      <w:r w:rsidRPr="003354C0">
        <w:rPr>
          <w:rFonts w:ascii="Verdana" w:hAnsi="Verdana"/>
          <w:i/>
          <w:sz w:val="24"/>
          <w:szCs w:val="24"/>
        </w:rPr>
        <w:t>The Court may at any stage of the proceedings</w:t>
      </w:r>
      <w:r>
        <w:rPr>
          <w:rFonts w:ascii="Verdana" w:hAnsi="Verdana"/>
          <w:sz w:val="24"/>
          <w:szCs w:val="24"/>
        </w:rPr>
        <w:t xml:space="preserve">, either upon or without the application of either party, and on such terms as may appear to the Court to be just, </w:t>
      </w:r>
      <w:r w:rsidRPr="002154FF">
        <w:rPr>
          <w:rFonts w:ascii="Verdana" w:hAnsi="Verdana"/>
          <w:i/>
          <w:sz w:val="24"/>
          <w:szCs w:val="24"/>
        </w:rPr>
        <w:t xml:space="preserve">order </w:t>
      </w:r>
      <w:r w:rsidRPr="002154FF">
        <w:rPr>
          <w:rFonts w:ascii="Verdana" w:hAnsi="Verdana"/>
          <w:sz w:val="24"/>
          <w:szCs w:val="24"/>
        </w:rPr>
        <w:t>that</w:t>
      </w:r>
      <w:r>
        <w:rPr>
          <w:rFonts w:ascii="Verdana" w:hAnsi="Verdana"/>
          <w:sz w:val="24"/>
          <w:szCs w:val="24"/>
        </w:rPr>
        <w:t xml:space="preserve"> the name of any party improperly joined, whether as plaintiff or defendant, be struck out, and </w:t>
      </w:r>
      <w:r w:rsidRPr="002154FF">
        <w:rPr>
          <w:rFonts w:ascii="Verdana" w:hAnsi="Verdana"/>
          <w:i/>
          <w:sz w:val="24"/>
          <w:szCs w:val="24"/>
        </w:rPr>
        <w:t>that the name of any person</w:t>
      </w:r>
      <w:r>
        <w:rPr>
          <w:rFonts w:ascii="Verdana" w:hAnsi="Verdana"/>
          <w:sz w:val="24"/>
          <w:szCs w:val="24"/>
        </w:rPr>
        <w:t xml:space="preserve"> who ought to have joined, whether as plaintiff or defendant, or </w:t>
      </w:r>
      <w:r w:rsidRPr="002154FF">
        <w:rPr>
          <w:rFonts w:ascii="Verdana" w:hAnsi="Verdana"/>
          <w:i/>
          <w:sz w:val="24"/>
          <w:szCs w:val="24"/>
        </w:rPr>
        <w:t xml:space="preserve">whose presence before </w:t>
      </w:r>
      <w:r w:rsidRPr="002154FF">
        <w:rPr>
          <w:rFonts w:ascii="Verdana" w:hAnsi="Verdana"/>
          <w:i/>
          <w:sz w:val="24"/>
          <w:szCs w:val="24"/>
        </w:rPr>
        <w:lastRenderedPageBreak/>
        <w:t>the Court may be necessary in order to enable the Court effectually and completely to adjudicate upon and settle all the questions involved in the suit, be added</w:t>
      </w:r>
      <w:r>
        <w:rPr>
          <w:rFonts w:ascii="Verdana" w:hAnsi="Verdana"/>
          <w:sz w:val="24"/>
          <w:szCs w:val="24"/>
        </w:rPr>
        <w:t xml:space="preserve">. </w:t>
      </w:r>
    </w:p>
    <w:p w14:paraId="57EAF391" w14:textId="0A73F406" w:rsidR="0052441D" w:rsidRDefault="0052441D" w:rsidP="003354C0">
      <w:pPr>
        <w:ind w:left="1080"/>
        <w:rPr>
          <w:rFonts w:ascii="Verdana" w:hAnsi="Verdana"/>
          <w:sz w:val="24"/>
          <w:szCs w:val="24"/>
        </w:rPr>
      </w:pPr>
      <w:r>
        <w:rPr>
          <w:rFonts w:ascii="Verdana" w:hAnsi="Verdana"/>
          <w:b/>
          <w:sz w:val="24"/>
          <w:szCs w:val="24"/>
        </w:rPr>
        <w:t>Order 23, Rule 3</w:t>
      </w:r>
      <w:r w:rsidRPr="0052441D">
        <w:rPr>
          <w:rFonts w:ascii="Verdana" w:hAnsi="Verdana"/>
          <w:sz w:val="24"/>
          <w:szCs w:val="24"/>
        </w:rPr>
        <w:t>-</w:t>
      </w:r>
      <w:r>
        <w:rPr>
          <w:rFonts w:ascii="Verdana" w:hAnsi="Verdana"/>
          <w:sz w:val="24"/>
          <w:szCs w:val="24"/>
        </w:rPr>
        <w:t xml:space="preserve"> Where the Court is satisfied-</w:t>
      </w:r>
    </w:p>
    <w:p w14:paraId="1D653B56" w14:textId="032EFB5E" w:rsidR="0052441D" w:rsidRDefault="0052441D" w:rsidP="0052441D">
      <w:pPr>
        <w:pStyle w:val="ListParagraph"/>
        <w:numPr>
          <w:ilvl w:val="0"/>
          <w:numId w:val="11"/>
        </w:numPr>
        <w:rPr>
          <w:rFonts w:ascii="Verdana" w:hAnsi="Verdana"/>
          <w:sz w:val="24"/>
          <w:szCs w:val="24"/>
        </w:rPr>
      </w:pPr>
      <w:r>
        <w:rPr>
          <w:rFonts w:ascii="Verdana" w:hAnsi="Verdana"/>
          <w:sz w:val="24"/>
          <w:szCs w:val="24"/>
        </w:rPr>
        <w:t>That a suit must fail by reason of some formal defect, or</w:t>
      </w:r>
    </w:p>
    <w:p w14:paraId="3C6DE6B8" w14:textId="6B1D5DAE" w:rsidR="0052441D" w:rsidRDefault="0052441D" w:rsidP="0052441D">
      <w:pPr>
        <w:pStyle w:val="ListParagraph"/>
        <w:numPr>
          <w:ilvl w:val="0"/>
          <w:numId w:val="11"/>
        </w:numPr>
        <w:rPr>
          <w:rFonts w:ascii="Verdana" w:hAnsi="Verdana"/>
          <w:sz w:val="24"/>
          <w:szCs w:val="24"/>
        </w:rPr>
      </w:pPr>
      <w:r>
        <w:rPr>
          <w:rFonts w:ascii="Verdana" w:hAnsi="Verdana"/>
          <w:sz w:val="24"/>
          <w:szCs w:val="24"/>
        </w:rPr>
        <w:t>That there are sufficient grounds for allowing the plaintiff to institute a fresh suit for the subject-matter of a suit or other part of a claim, it may, on such terms as it thinks fit, grant the plaintiff permission to withdraw from such suit or part of the claim with liberty to institute a fresh suit in respect of the subject-matter of such suit or such part of the claim.</w:t>
      </w:r>
    </w:p>
    <w:p w14:paraId="609FBCF1" w14:textId="0EB57810" w:rsidR="0052441D" w:rsidRDefault="0052441D" w:rsidP="0052441D">
      <w:pPr>
        <w:ind w:left="1080"/>
        <w:rPr>
          <w:rFonts w:ascii="Verdana" w:hAnsi="Verdana"/>
          <w:sz w:val="24"/>
          <w:szCs w:val="24"/>
        </w:rPr>
      </w:pPr>
      <w:r w:rsidRPr="0052441D">
        <w:rPr>
          <w:rFonts w:ascii="Verdana" w:hAnsi="Verdana"/>
          <w:b/>
          <w:sz w:val="24"/>
          <w:szCs w:val="24"/>
        </w:rPr>
        <w:t>Order 23, Rule 5-</w:t>
      </w:r>
      <w:r>
        <w:rPr>
          <w:rFonts w:ascii="Verdana" w:hAnsi="Verdana"/>
          <w:b/>
          <w:sz w:val="24"/>
          <w:szCs w:val="24"/>
        </w:rPr>
        <w:t xml:space="preserve"> </w:t>
      </w:r>
      <w:r w:rsidRPr="0052441D">
        <w:rPr>
          <w:rFonts w:ascii="Verdana" w:hAnsi="Verdana"/>
          <w:sz w:val="24"/>
          <w:szCs w:val="24"/>
        </w:rPr>
        <w:t>Nothing in this rule</w:t>
      </w:r>
      <w:r>
        <w:rPr>
          <w:rFonts w:ascii="Verdana" w:hAnsi="Verdana"/>
          <w:sz w:val="24"/>
          <w:szCs w:val="24"/>
        </w:rPr>
        <w:t xml:space="preserve"> shall be deemed to authorise the Court to permit one of several plaintiffs to abandon a suit or part of a claim under Sub-rule (1), or to withdraw, under sub-rule (3)</w:t>
      </w:r>
      <w:r w:rsidR="0014091D">
        <w:rPr>
          <w:rFonts w:ascii="Verdana" w:hAnsi="Verdana"/>
          <w:sz w:val="24"/>
          <w:szCs w:val="24"/>
        </w:rPr>
        <w:t>, any suit or part of a claim, without the consent of the other plaintiffs.</w:t>
      </w:r>
    </w:p>
    <w:p w14:paraId="3AC6D977" w14:textId="7EF336C5" w:rsidR="00076D4D" w:rsidRPr="00076D4D" w:rsidRDefault="00076D4D" w:rsidP="0052441D">
      <w:pPr>
        <w:ind w:left="1080"/>
        <w:rPr>
          <w:rFonts w:ascii="Verdana" w:hAnsi="Verdana"/>
          <w:sz w:val="24"/>
          <w:szCs w:val="24"/>
        </w:rPr>
      </w:pPr>
      <w:r w:rsidRPr="00076D4D">
        <w:rPr>
          <w:rFonts w:ascii="Verdana" w:hAnsi="Verdana"/>
          <w:sz w:val="24"/>
          <w:szCs w:val="24"/>
        </w:rPr>
        <w:t xml:space="preserve">The </w:t>
      </w:r>
      <w:r>
        <w:rPr>
          <w:rFonts w:ascii="Verdana" w:hAnsi="Verdana"/>
          <w:sz w:val="24"/>
          <w:szCs w:val="24"/>
        </w:rPr>
        <w:t>phrase “effectually and completely to adjudicate” used in Rule 10(2), Order1, CPC finds its reverberation in the phrase “a complete and effective disposal of the application” used in Rule (5) of the Authority Procedure Rules, 1996 and the intention in both situations seems identical.</w:t>
      </w:r>
    </w:p>
    <w:p w14:paraId="2F7A0CFA" w14:textId="1374F3B7" w:rsidR="00E01107" w:rsidRDefault="001C01F4" w:rsidP="009C2B38">
      <w:pPr>
        <w:pStyle w:val="ListParagraph"/>
        <w:ind w:left="1080"/>
        <w:rPr>
          <w:rFonts w:ascii="Verdana" w:hAnsi="Verdana"/>
          <w:sz w:val="24"/>
          <w:szCs w:val="24"/>
        </w:rPr>
      </w:pPr>
      <w:r>
        <w:rPr>
          <w:rFonts w:ascii="Verdana" w:hAnsi="Verdana"/>
          <w:sz w:val="24"/>
          <w:szCs w:val="24"/>
        </w:rPr>
        <w:t>In view of the above,</w:t>
      </w:r>
      <w:r w:rsidR="003E6118">
        <w:rPr>
          <w:rFonts w:ascii="Verdana" w:hAnsi="Verdana"/>
          <w:sz w:val="24"/>
          <w:szCs w:val="24"/>
        </w:rPr>
        <w:t xml:space="preserve"> the two applications now filed by ECOM and ECIL requires to be rejected outright even at this stage in the course of proceedings under section </w:t>
      </w:r>
      <w:r w:rsidR="005A56D7">
        <w:rPr>
          <w:rFonts w:ascii="Verdana" w:hAnsi="Verdana"/>
          <w:sz w:val="24"/>
          <w:szCs w:val="24"/>
        </w:rPr>
        <w:t>245R (</w:t>
      </w:r>
      <w:r w:rsidR="003E6118">
        <w:rPr>
          <w:rFonts w:ascii="Verdana" w:hAnsi="Verdana"/>
          <w:sz w:val="24"/>
          <w:szCs w:val="24"/>
        </w:rPr>
        <w:t>4) of the Act.</w:t>
      </w:r>
    </w:p>
    <w:p w14:paraId="04B4B93C" w14:textId="2432F543" w:rsidR="0072305C" w:rsidRDefault="0072305C" w:rsidP="009C2B38">
      <w:pPr>
        <w:pStyle w:val="ListParagraph"/>
        <w:ind w:left="1080"/>
        <w:rPr>
          <w:rFonts w:ascii="Verdana" w:hAnsi="Verdana"/>
          <w:sz w:val="24"/>
          <w:szCs w:val="24"/>
        </w:rPr>
      </w:pPr>
    </w:p>
    <w:p w14:paraId="51F7C33C" w14:textId="3D7A13BC" w:rsidR="0072305C" w:rsidRDefault="0072305C" w:rsidP="009C2B38">
      <w:pPr>
        <w:pStyle w:val="ListParagraph"/>
        <w:ind w:left="1080"/>
        <w:rPr>
          <w:rFonts w:ascii="Verdana" w:hAnsi="Verdana"/>
          <w:sz w:val="24"/>
          <w:szCs w:val="24"/>
        </w:rPr>
      </w:pPr>
      <w:r>
        <w:rPr>
          <w:rFonts w:ascii="Verdana" w:hAnsi="Verdana"/>
          <w:sz w:val="24"/>
          <w:szCs w:val="24"/>
        </w:rPr>
        <w:t>It may not be out of context here to draw kind attention of Hon’ble Authority to the provisions for withdrawal of application by the applicant contained in sub-section (3) of section 245Q of the Act which lays down that an applicant may withd</w:t>
      </w:r>
      <w:r w:rsidR="007B0267">
        <w:rPr>
          <w:rFonts w:ascii="Verdana" w:hAnsi="Verdana"/>
          <w:sz w:val="24"/>
          <w:szCs w:val="24"/>
        </w:rPr>
        <w:t xml:space="preserve">raw an application within thirty </w:t>
      </w:r>
      <w:r>
        <w:rPr>
          <w:rFonts w:ascii="Verdana" w:hAnsi="Verdana"/>
          <w:sz w:val="24"/>
          <w:szCs w:val="24"/>
        </w:rPr>
        <w:t xml:space="preserve">days from the date of the Application. Once the application is admitted and any other application, petition or representation of the nature of interlocutory, incidental or ancillary nature is filed, the same requires to be decided by Hon’ble Authority and no withdrawal could be permitted thereafter. </w:t>
      </w:r>
    </w:p>
    <w:p w14:paraId="496CE788" w14:textId="77777777" w:rsidR="00E01107" w:rsidRDefault="00E01107" w:rsidP="009C2B38">
      <w:pPr>
        <w:pStyle w:val="ListParagraph"/>
        <w:ind w:left="1080"/>
        <w:rPr>
          <w:rFonts w:ascii="Verdana" w:hAnsi="Verdana"/>
          <w:sz w:val="24"/>
          <w:szCs w:val="24"/>
        </w:rPr>
      </w:pPr>
    </w:p>
    <w:p w14:paraId="5C80C7EC" w14:textId="0C4D0A47" w:rsidR="00D71EF8" w:rsidRDefault="00E01107" w:rsidP="009C2B38">
      <w:pPr>
        <w:pStyle w:val="ListParagraph"/>
        <w:ind w:left="1080"/>
        <w:rPr>
          <w:rFonts w:ascii="Verdana" w:hAnsi="Verdana"/>
          <w:sz w:val="24"/>
          <w:szCs w:val="24"/>
        </w:rPr>
      </w:pPr>
      <w:r>
        <w:rPr>
          <w:rFonts w:ascii="Verdana" w:hAnsi="Verdana"/>
          <w:sz w:val="24"/>
          <w:szCs w:val="24"/>
        </w:rPr>
        <w:t xml:space="preserve">In view of the submissions in the course of hearing, provisions </w:t>
      </w:r>
      <w:r w:rsidR="00851D56">
        <w:rPr>
          <w:rFonts w:ascii="Verdana" w:hAnsi="Verdana"/>
          <w:sz w:val="24"/>
          <w:szCs w:val="24"/>
        </w:rPr>
        <w:t xml:space="preserve">of the CPC </w:t>
      </w:r>
      <w:r>
        <w:rPr>
          <w:rFonts w:ascii="Verdana" w:hAnsi="Verdana"/>
          <w:sz w:val="24"/>
          <w:szCs w:val="24"/>
        </w:rPr>
        <w:t>and the related case laws</w:t>
      </w:r>
      <w:r w:rsidR="00851D56">
        <w:rPr>
          <w:rFonts w:ascii="Verdana" w:hAnsi="Verdana"/>
          <w:sz w:val="24"/>
          <w:szCs w:val="24"/>
        </w:rPr>
        <w:t xml:space="preserve"> thereon</w:t>
      </w:r>
      <w:r>
        <w:rPr>
          <w:rFonts w:ascii="Verdana" w:hAnsi="Verdana"/>
          <w:sz w:val="24"/>
          <w:szCs w:val="24"/>
        </w:rPr>
        <w:t xml:space="preserve">, it is humbly submitted that the two applicants </w:t>
      </w:r>
      <w:r w:rsidR="00D71EF8">
        <w:rPr>
          <w:rFonts w:ascii="Verdana" w:hAnsi="Verdana"/>
          <w:sz w:val="24"/>
          <w:szCs w:val="24"/>
        </w:rPr>
        <w:t>stand</w:t>
      </w:r>
      <w:r>
        <w:rPr>
          <w:rFonts w:ascii="Verdana" w:hAnsi="Verdana"/>
          <w:sz w:val="24"/>
          <w:szCs w:val="24"/>
        </w:rPr>
        <w:t xml:space="preserve"> ousted to file fresh applications before Hon’ble Authority</w:t>
      </w:r>
      <w:r w:rsidR="00126482">
        <w:rPr>
          <w:rFonts w:ascii="Verdana" w:hAnsi="Verdana"/>
          <w:sz w:val="24"/>
          <w:szCs w:val="24"/>
        </w:rPr>
        <w:t xml:space="preserve"> for reasons</w:t>
      </w:r>
      <w:r w:rsidR="00D71EF8">
        <w:rPr>
          <w:rFonts w:ascii="Verdana" w:hAnsi="Verdana"/>
          <w:sz w:val="24"/>
          <w:szCs w:val="24"/>
        </w:rPr>
        <w:t xml:space="preserve"> that:</w:t>
      </w:r>
    </w:p>
    <w:p w14:paraId="0B5B9C00" w14:textId="4182434A" w:rsidR="003449EA" w:rsidRPr="00D71EF8" w:rsidRDefault="0072305C" w:rsidP="0072305C">
      <w:pPr>
        <w:ind w:left="1080"/>
        <w:rPr>
          <w:rFonts w:ascii="Verdana" w:hAnsi="Verdana"/>
          <w:sz w:val="24"/>
          <w:szCs w:val="24"/>
        </w:rPr>
      </w:pPr>
      <w:r>
        <w:rPr>
          <w:rFonts w:ascii="Verdana" w:hAnsi="Verdana"/>
          <w:sz w:val="24"/>
          <w:szCs w:val="24"/>
        </w:rPr>
        <w:t>1.</w:t>
      </w:r>
      <w:r w:rsidR="00D71EF8" w:rsidRPr="0072305C">
        <w:rPr>
          <w:rFonts w:ascii="Verdana" w:hAnsi="Verdana"/>
          <w:sz w:val="24"/>
          <w:szCs w:val="24"/>
        </w:rPr>
        <w:t>A second application cannot be filed for the same cause</w:t>
      </w:r>
      <w:r w:rsidR="00244233" w:rsidRPr="0072305C">
        <w:rPr>
          <w:rFonts w:ascii="Verdana" w:hAnsi="Verdana"/>
          <w:sz w:val="24"/>
          <w:szCs w:val="24"/>
        </w:rPr>
        <w:t xml:space="preserve"> as the applications filed by the present two applicants were decided in terms of Rule 28 of the Authority Procedure Rules alon</w:t>
      </w:r>
      <w:r>
        <w:rPr>
          <w:rFonts w:ascii="Verdana" w:hAnsi="Verdana"/>
          <w:sz w:val="24"/>
          <w:szCs w:val="24"/>
        </w:rPr>
        <w:t>g</w:t>
      </w:r>
      <w:r w:rsidR="00244233" w:rsidRPr="0072305C">
        <w:rPr>
          <w:rFonts w:ascii="Verdana" w:hAnsi="Verdana"/>
          <w:sz w:val="24"/>
          <w:szCs w:val="24"/>
        </w:rPr>
        <w:t xml:space="preserve"> with that of main applicant, EPSL</w:t>
      </w:r>
      <w:r w:rsidR="00D71EF8" w:rsidRPr="0072305C">
        <w:rPr>
          <w:rFonts w:ascii="Verdana" w:hAnsi="Verdana"/>
          <w:sz w:val="24"/>
          <w:szCs w:val="24"/>
        </w:rPr>
        <w:t xml:space="preserve">; </w:t>
      </w:r>
      <w:r w:rsidR="00D71EF8" w:rsidRPr="00D71EF8">
        <w:rPr>
          <w:rFonts w:ascii="Verdana" w:hAnsi="Verdana"/>
          <w:sz w:val="24"/>
          <w:szCs w:val="24"/>
        </w:rPr>
        <w:t xml:space="preserve">and </w:t>
      </w:r>
    </w:p>
    <w:p w14:paraId="3DDD1313" w14:textId="4F6F64B2" w:rsidR="009960BB" w:rsidRDefault="009A1551" w:rsidP="0072305C">
      <w:pPr>
        <w:ind w:left="1080" w:right="-188"/>
        <w:rPr>
          <w:rFonts w:ascii="Verdana" w:hAnsi="Verdana"/>
          <w:sz w:val="24"/>
          <w:szCs w:val="24"/>
        </w:rPr>
      </w:pPr>
      <w:r>
        <w:rPr>
          <w:rFonts w:ascii="Verdana" w:hAnsi="Verdana"/>
          <w:sz w:val="24"/>
          <w:szCs w:val="24"/>
        </w:rPr>
        <w:lastRenderedPageBreak/>
        <w:t>2.</w:t>
      </w:r>
      <w:r w:rsidRPr="0072305C">
        <w:rPr>
          <w:rFonts w:ascii="Verdana" w:hAnsi="Verdana"/>
          <w:sz w:val="24"/>
          <w:szCs w:val="24"/>
        </w:rPr>
        <w:t xml:space="preserve"> Hon’ble</w:t>
      </w:r>
      <w:r w:rsidR="00D71EF8" w:rsidRPr="0072305C">
        <w:rPr>
          <w:rFonts w:ascii="Verdana" w:hAnsi="Verdana"/>
          <w:sz w:val="24"/>
          <w:szCs w:val="24"/>
        </w:rPr>
        <w:t xml:space="preserve"> Authority did not permit the two applicants to file fresh application before the Hon’ble Authority and the liberty was granted to seek reliefs in other proceedings which meant proceedings other than proceedings before Hon’ble Authority.</w:t>
      </w:r>
      <w:r w:rsidR="00504992" w:rsidRPr="0072305C">
        <w:rPr>
          <w:rFonts w:ascii="Verdana" w:hAnsi="Verdana"/>
          <w:sz w:val="24"/>
          <w:szCs w:val="24"/>
        </w:rPr>
        <w:t xml:space="preserve"> The </w:t>
      </w:r>
      <w:r w:rsidR="00896588" w:rsidRPr="0072305C">
        <w:rPr>
          <w:rFonts w:ascii="Verdana" w:hAnsi="Verdana"/>
          <w:color w:val="000000" w:themeColor="text1"/>
          <w:sz w:val="24"/>
          <w:szCs w:val="24"/>
        </w:rPr>
        <w:t xml:space="preserve">question pertaining to the transaction under consideration, involving the issue of  taxability of capital gains on the sale of shares of Vodafone Essar Ltd, (In short, “VEL”)  which was deliberated, argued and canvassed by Euro Pacific Securities </w:t>
      </w:r>
      <w:r w:rsidR="00504992" w:rsidRPr="0072305C">
        <w:rPr>
          <w:rFonts w:ascii="Verdana" w:hAnsi="Verdana"/>
          <w:color w:val="000000" w:themeColor="text1"/>
          <w:sz w:val="24"/>
          <w:szCs w:val="24"/>
        </w:rPr>
        <w:t>L</w:t>
      </w:r>
      <w:r w:rsidR="00896588" w:rsidRPr="0072305C">
        <w:rPr>
          <w:rFonts w:ascii="Verdana" w:hAnsi="Verdana"/>
          <w:color w:val="000000" w:themeColor="text1"/>
          <w:sz w:val="24"/>
          <w:szCs w:val="24"/>
        </w:rPr>
        <w:t xml:space="preserve">td,  the present </w:t>
      </w:r>
      <w:r w:rsidR="00966EEE" w:rsidRPr="0072305C">
        <w:rPr>
          <w:rFonts w:ascii="Verdana" w:hAnsi="Verdana"/>
          <w:color w:val="000000" w:themeColor="text1"/>
          <w:sz w:val="24"/>
          <w:szCs w:val="24"/>
        </w:rPr>
        <w:t xml:space="preserve">two </w:t>
      </w:r>
      <w:r w:rsidR="00896588" w:rsidRPr="0072305C">
        <w:rPr>
          <w:rFonts w:ascii="Verdana" w:hAnsi="Verdana"/>
          <w:color w:val="000000" w:themeColor="text1"/>
          <w:sz w:val="24"/>
          <w:szCs w:val="24"/>
        </w:rPr>
        <w:t>Applicants and the Revenue  before Hon’ble Authority in Application No 982 of 2010 filed by EPSL and subsequently “dismissed as withdrawn” by the Hon’ble Authority</w:t>
      </w:r>
      <w:r w:rsidR="00504992" w:rsidRPr="0072305C">
        <w:rPr>
          <w:rFonts w:ascii="Verdana" w:hAnsi="Verdana"/>
          <w:color w:val="000000" w:themeColor="text1"/>
          <w:sz w:val="24"/>
          <w:szCs w:val="24"/>
        </w:rPr>
        <w:t xml:space="preserve"> debars</w:t>
      </w:r>
      <w:r w:rsidR="00896588" w:rsidRPr="0072305C">
        <w:rPr>
          <w:rFonts w:ascii="Verdana" w:hAnsi="Verdana"/>
          <w:color w:val="000000" w:themeColor="text1"/>
          <w:sz w:val="24"/>
          <w:szCs w:val="24"/>
        </w:rPr>
        <w:t xml:space="preserve"> the two applicants from raising identical question on the same transaction</w:t>
      </w:r>
      <w:r w:rsidR="00504992" w:rsidRPr="0072305C">
        <w:rPr>
          <w:rFonts w:ascii="Verdana" w:hAnsi="Verdana"/>
          <w:color w:val="000000" w:themeColor="text1"/>
          <w:sz w:val="24"/>
          <w:szCs w:val="24"/>
        </w:rPr>
        <w:t xml:space="preserve"> for</w:t>
      </w:r>
      <w:r w:rsidR="00896588" w:rsidRPr="0072305C">
        <w:rPr>
          <w:rFonts w:ascii="Verdana" w:hAnsi="Verdana"/>
          <w:color w:val="000000" w:themeColor="text1"/>
          <w:sz w:val="24"/>
          <w:szCs w:val="24"/>
        </w:rPr>
        <w:t xml:space="preserve"> the same issue</w:t>
      </w:r>
      <w:r w:rsidR="005A56D7">
        <w:rPr>
          <w:rFonts w:ascii="Verdana" w:hAnsi="Verdana"/>
          <w:sz w:val="24"/>
          <w:szCs w:val="24"/>
        </w:rPr>
        <w:t>.</w:t>
      </w:r>
    </w:p>
    <w:p w14:paraId="7AD6E12D" w14:textId="3516F5FB" w:rsidR="000100F6" w:rsidRDefault="002D0AA3" w:rsidP="000100F6">
      <w:pPr>
        <w:pStyle w:val="ListParagraph"/>
        <w:ind w:left="1080" w:right="-188"/>
        <w:rPr>
          <w:rFonts w:ascii="Verdana" w:hAnsi="Verdana"/>
          <w:b/>
          <w:sz w:val="24"/>
          <w:szCs w:val="24"/>
          <w:u w:val="single"/>
        </w:rPr>
      </w:pPr>
      <w:r w:rsidRPr="002D0AA3">
        <w:rPr>
          <w:rFonts w:ascii="Verdana" w:hAnsi="Verdana"/>
          <w:b/>
          <w:sz w:val="24"/>
          <w:szCs w:val="24"/>
          <w:u w:val="single"/>
        </w:rPr>
        <w:t>Case Laws relied upon &amp; referred to by and on behalf of the Applicants:</w:t>
      </w:r>
    </w:p>
    <w:p w14:paraId="62E3BEAA" w14:textId="77777777" w:rsidR="002D0AA3" w:rsidRDefault="002D0AA3" w:rsidP="000100F6">
      <w:pPr>
        <w:pStyle w:val="ListParagraph"/>
        <w:ind w:left="1080" w:right="-188"/>
        <w:rPr>
          <w:rFonts w:ascii="Verdana" w:hAnsi="Verdana"/>
          <w:sz w:val="24"/>
          <w:szCs w:val="24"/>
        </w:rPr>
      </w:pPr>
    </w:p>
    <w:p w14:paraId="57B8E8EB" w14:textId="11DA588C" w:rsidR="002D0AA3" w:rsidRDefault="002D0AA3" w:rsidP="000100F6">
      <w:pPr>
        <w:pStyle w:val="ListParagraph"/>
        <w:ind w:left="1080" w:right="-188"/>
        <w:rPr>
          <w:rFonts w:ascii="Verdana" w:hAnsi="Verdana"/>
          <w:sz w:val="24"/>
          <w:szCs w:val="24"/>
        </w:rPr>
      </w:pPr>
      <w:r>
        <w:rPr>
          <w:rFonts w:ascii="Verdana" w:hAnsi="Verdana"/>
          <w:sz w:val="24"/>
          <w:szCs w:val="24"/>
        </w:rPr>
        <w:t>The applicants have mainly relied and drew support from judgment of Hon’ble Apex Court in the case of Saraswati Industrial Syndicate Ltd. v. CIT reported in [1999] 103 Taxman 395 (SC) in order to contend that the only purpose of granting an intervention application is to entitle the intervenor to address arguments in support of one or the other side.</w:t>
      </w:r>
    </w:p>
    <w:p w14:paraId="074D5E99" w14:textId="77777777" w:rsidR="009215B3" w:rsidRDefault="009215B3" w:rsidP="000100F6">
      <w:pPr>
        <w:pStyle w:val="ListParagraph"/>
        <w:ind w:left="1080" w:right="-188"/>
        <w:rPr>
          <w:rFonts w:ascii="Verdana" w:hAnsi="Verdana"/>
          <w:sz w:val="24"/>
          <w:szCs w:val="24"/>
        </w:rPr>
      </w:pPr>
    </w:p>
    <w:p w14:paraId="0083B6F9" w14:textId="6E6BC45D" w:rsidR="002D0AA3" w:rsidRDefault="002D0AA3" w:rsidP="000100F6">
      <w:pPr>
        <w:pStyle w:val="ListParagraph"/>
        <w:ind w:left="1080" w:right="-188"/>
        <w:rPr>
          <w:rFonts w:ascii="Verdana" w:hAnsi="Verdana"/>
          <w:sz w:val="24"/>
          <w:szCs w:val="24"/>
        </w:rPr>
      </w:pPr>
      <w:r>
        <w:rPr>
          <w:rFonts w:ascii="Verdana" w:hAnsi="Verdana"/>
          <w:sz w:val="24"/>
          <w:szCs w:val="24"/>
        </w:rPr>
        <w:t xml:space="preserve">Such an argument is totally misplaced when the decision is viewed in the context of the case. Hon’ble Apex Court could not have granted the request of the intervenor in that case as complete facts of the case of the intervenor were not before it and in the absence thereof it would have been travesty of justice to allow the </w:t>
      </w:r>
      <w:r w:rsidR="009215B3">
        <w:rPr>
          <w:rFonts w:ascii="Verdana" w:hAnsi="Verdana"/>
          <w:sz w:val="24"/>
          <w:szCs w:val="24"/>
        </w:rPr>
        <w:t xml:space="preserve">same </w:t>
      </w:r>
      <w:r>
        <w:rPr>
          <w:rFonts w:ascii="Verdana" w:hAnsi="Verdana"/>
          <w:sz w:val="24"/>
          <w:szCs w:val="24"/>
        </w:rPr>
        <w:t>benefit</w:t>
      </w:r>
      <w:r w:rsidR="009215B3">
        <w:rPr>
          <w:rFonts w:ascii="Verdana" w:hAnsi="Verdana"/>
          <w:sz w:val="24"/>
          <w:szCs w:val="24"/>
        </w:rPr>
        <w:t xml:space="preserve"> to the intervenor as was</w:t>
      </w:r>
      <w:r>
        <w:rPr>
          <w:rFonts w:ascii="Verdana" w:hAnsi="Verdana"/>
          <w:sz w:val="24"/>
          <w:szCs w:val="24"/>
        </w:rPr>
        <w:t xml:space="preserve"> granted to the appellant</w:t>
      </w:r>
      <w:r w:rsidR="009215B3">
        <w:rPr>
          <w:rFonts w:ascii="Verdana" w:hAnsi="Verdana"/>
          <w:sz w:val="24"/>
          <w:szCs w:val="24"/>
        </w:rPr>
        <w:t>.</w:t>
      </w:r>
      <w:r>
        <w:rPr>
          <w:rFonts w:ascii="Verdana" w:hAnsi="Verdana"/>
          <w:sz w:val="24"/>
          <w:szCs w:val="24"/>
        </w:rPr>
        <w:t xml:space="preserve"> </w:t>
      </w:r>
      <w:r w:rsidR="009215B3">
        <w:rPr>
          <w:rFonts w:ascii="Verdana" w:hAnsi="Verdana"/>
          <w:sz w:val="24"/>
          <w:szCs w:val="24"/>
        </w:rPr>
        <w:t xml:space="preserve">Support from the decision in the case of Saraswati Industrial Syndicate Ltd is sought to be extended by drawing support from four other decisions compiled in the digest provided by and on behalf of the applicants which are decisions rendered by special benches of the ITAT. The reliance is again, in </w:t>
      </w:r>
      <w:r w:rsidR="00E34D0E">
        <w:rPr>
          <w:rFonts w:ascii="Verdana" w:hAnsi="Verdana"/>
          <w:sz w:val="24"/>
          <w:szCs w:val="24"/>
        </w:rPr>
        <w:t xml:space="preserve">all humility would submit that, </w:t>
      </w:r>
      <w:r w:rsidR="009215B3">
        <w:rPr>
          <w:rFonts w:ascii="Verdana" w:hAnsi="Verdana"/>
          <w:sz w:val="24"/>
          <w:szCs w:val="24"/>
        </w:rPr>
        <w:t>grossly misplaced as special benches are constituted for determination of issues where contrary decisions are given by different benches on an issue on facts or on a significant legal issue. Revenue has filed copy of the decision in the case of Saipem S.P.A v. DCIT reported in [2003] 86 ITD 572 in its compilation volume (3) submitted on 31.07.2019 at serial number (9) at pages (68) to (75) in order to explain as to in what circumstances, special benches are constituted and how their orders are given effect to.</w:t>
      </w:r>
    </w:p>
    <w:p w14:paraId="232EB613" w14:textId="77777777" w:rsidR="009215B3" w:rsidRDefault="009215B3" w:rsidP="000100F6">
      <w:pPr>
        <w:pStyle w:val="ListParagraph"/>
        <w:ind w:left="1080" w:right="-188"/>
        <w:rPr>
          <w:rFonts w:ascii="Verdana" w:hAnsi="Verdana"/>
          <w:sz w:val="24"/>
          <w:szCs w:val="24"/>
        </w:rPr>
      </w:pPr>
    </w:p>
    <w:p w14:paraId="26B64457" w14:textId="53FF2897" w:rsidR="009215B3" w:rsidRDefault="009215B3" w:rsidP="000100F6">
      <w:pPr>
        <w:pStyle w:val="ListParagraph"/>
        <w:ind w:left="1080" w:right="-188"/>
        <w:rPr>
          <w:rFonts w:ascii="Verdana" w:hAnsi="Verdana"/>
          <w:sz w:val="24"/>
          <w:szCs w:val="24"/>
        </w:rPr>
      </w:pPr>
      <w:r>
        <w:rPr>
          <w:rFonts w:ascii="Verdana" w:hAnsi="Verdana"/>
          <w:sz w:val="24"/>
          <w:szCs w:val="24"/>
        </w:rPr>
        <w:t xml:space="preserve">In the present cases of the applicants, there are </w:t>
      </w:r>
      <w:r w:rsidR="003A1C0E">
        <w:rPr>
          <w:rFonts w:ascii="Verdana" w:hAnsi="Verdana"/>
          <w:sz w:val="24"/>
          <w:szCs w:val="24"/>
        </w:rPr>
        <w:t xml:space="preserve">specific and unique </w:t>
      </w:r>
      <w:r>
        <w:rPr>
          <w:rFonts w:ascii="Verdana" w:hAnsi="Verdana"/>
          <w:sz w:val="24"/>
          <w:szCs w:val="24"/>
        </w:rPr>
        <w:t>provisions contained in Rule (5) to admit such applications, petitions and representations and deal with them by provision contained in Rule (28) of the Authority Procedure Rules</w:t>
      </w:r>
      <w:r w:rsidR="009E5C9C">
        <w:rPr>
          <w:rFonts w:ascii="Verdana" w:hAnsi="Verdana"/>
          <w:sz w:val="24"/>
          <w:szCs w:val="24"/>
        </w:rPr>
        <w:t>. These rules are special provisions and requires to be interpreted in its own context</w:t>
      </w:r>
      <w:r>
        <w:rPr>
          <w:rFonts w:ascii="Verdana" w:hAnsi="Verdana"/>
          <w:sz w:val="24"/>
          <w:szCs w:val="24"/>
        </w:rPr>
        <w:t xml:space="preserve"> </w:t>
      </w:r>
      <w:r w:rsidR="009E5C9C">
        <w:rPr>
          <w:rFonts w:ascii="Verdana" w:hAnsi="Verdana"/>
          <w:sz w:val="24"/>
          <w:szCs w:val="24"/>
        </w:rPr>
        <w:t xml:space="preserve">and any </w:t>
      </w:r>
      <w:r w:rsidR="009E5C9C">
        <w:rPr>
          <w:rFonts w:ascii="Verdana" w:hAnsi="Verdana"/>
          <w:sz w:val="24"/>
          <w:szCs w:val="24"/>
        </w:rPr>
        <w:lastRenderedPageBreak/>
        <w:t>reliance on other provisions of the Income-tax Act, 1961 would be misplaced and misconstrued.</w:t>
      </w:r>
    </w:p>
    <w:p w14:paraId="7EC4F893" w14:textId="658129CB" w:rsidR="003A1C0E" w:rsidRDefault="003A1C0E" w:rsidP="000100F6">
      <w:pPr>
        <w:pStyle w:val="ListParagraph"/>
        <w:ind w:left="1080" w:right="-188"/>
        <w:rPr>
          <w:rFonts w:ascii="Verdana" w:hAnsi="Verdana"/>
          <w:sz w:val="24"/>
          <w:szCs w:val="24"/>
        </w:rPr>
      </w:pPr>
    </w:p>
    <w:p w14:paraId="272D3D78" w14:textId="253B2C02" w:rsidR="003A1C0E" w:rsidRDefault="003A1C0E" w:rsidP="00A5149E">
      <w:pPr>
        <w:pStyle w:val="ListParagraph"/>
        <w:numPr>
          <w:ilvl w:val="0"/>
          <w:numId w:val="7"/>
        </w:numPr>
        <w:ind w:right="-188"/>
        <w:rPr>
          <w:rFonts w:ascii="Verdana" w:hAnsi="Verdana"/>
          <w:b/>
          <w:sz w:val="24"/>
          <w:szCs w:val="24"/>
          <w:u w:val="single"/>
        </w:rPr>
      </w:pPr>
      <w:r w:rsidRPr="00A5149E">
        <w:rPr>
          <w:rFonts w:ascii="Verdana" w:hAnsi="Verdana"/>
          <w:b/>
          <w:sz w:val="24"/>
          <w:szCs w:val="24"/>
          <w:u w:val="single"/>
        </w:rPr>
        <w:t>Rejoinder by and on behalf of the applicants on 04/09/2019</w:t>
      </w:r>
      <w:r w:rsidR="00A5149E">
        <w:rPr>
          <w:rFonts w:ascii="Verdana" w:hAnsi="Verdana"/>
          <w:b/>
          <w:sz w:val="24"/>
          <w:szCs w:val="24"/>
          <w:u w:val="single"/>
        </w:rPr>
        <w:t xml:space="preserve"> on these issues</w:t>
      </w:r>
      <w:r w:rsidRPr="00A5149E">
        <w:rPr>
          <w:rFonts w:ascii="Verdana" w:hAnsi="Verdana"/>
          <w:b/>
          <w:sz w:val="24"/>
          <w:szCs w:val="24"/>
          <w:u w:val="single"/>
        </w:rPr>
        <w:t>:</w:t>
      </w:r>
    </w:p>
    <w:p w14:paraId="6A1418E6" w14:textId="264ACBE3" w:rsidR="00A5149E" w:rsidRDefault="00A5149E" w:rsidP="00A5149E">
      <w:pPr>
        <w:ind w:left="1080" w:right="-188"/>
        <w:rPr>
          <w:rFonts w:ascii="Verdana" w:hAnsi="Verdana"/>
          <w:sz w:val="24"/>
          <w:szCs w:val="24"/>
        </w:rPr>
      </w:pPr>
      <w:r w:rsidRPr="00A5149E">
        <w:rPr>
          <w:rFonts w:ascii="Verdana" w:hAnsi="Verdana"/>
          <w:sz w:val="24"/>
          <w:szCs w:val="24"/>
        </w:rPr>
        <w:t>In the note submitted</w:t>
      </w:r>
      <w:r>
        <w:rPr>
          <w:rFonts w:ascii="Verdana" w:hAnsi="Verdana"/>
          <w:sz w:val="24"/>
          <w:szCs w:val="24"/>
        </w:rPr>
        <w:t xml:space="preserve"> in the course of rejoinder on 04/09/2019, following issues are addressed for and on behalf of the two applicants:</w:t>
      </w:r>
    </w:p>
    <w:p w14:paraId="1E7C7D89" w14:textId="5AFF3C36" w:rsidR="00A5149E" w:rsidRDefault="00A5149E" w:rsidP="00A5149E">
      <w:pPr>
        <w:pStyle w:val="ListParagraph"/>
        <w:numPr>
          <w:ilvl w:val="0"/>
          <w:numId w:val="8"/>
        </w:numPr>
        <w:ind w:right="-188"/>
        <w:rPr>
          <w:rFonts w:ascii="Verdana" w:hAnsi="Verdana"/>
          <w:sz w:val="24"/>
          <w:szCs w:val="24"/>
        </w:rPr>
      </w:pPr>
      <w:r>
        <w:rPr>
          <w:rFonts w:ascii="Verdana" w:hAnsi="Verdana"/>
          <w:sz w:val="24"/>
          <w:szCs w:val="24"/>
        </w:rPr>
        <w:t>Suppression of fact of intervention in the two applications;</w:t>
      </w:r>
    </w:p>
    <w:p w14:paraId="0CB5CA7F" w14:textId="2C575134" w:rsidR="00A5149E" w:rsidRDefault="00A5149E" w:rsidP="00A5149E">
      <w:pPr>
        <w:pStyle w:val="ListParagraph"/>
        <w:numPr>
          <w:ilvl w:val="0"/>
          <w:numId w:val="8"/>
        </w:numPr>
        <w:ind w:right="-188"/>
        <w:rPr>
          <w:rFonts w:ascii="Verdana" w:hAnsi="Verdana"/>
          <w:sz w:val="24"/>
          <w:szCs w:val="24"/>
        </w:rPr>
      </w:pPr>
      <w:r>
        <w:rPr>
          <w:rFonts w:ascii="Verdana" w:hAnsi="Verdana"/>
          <w:sz w:val="24"/>
          <w:szCs w:val="24"/>
        </w:rPr>
        <w:t>Permission for withdrawal by Hon’ble Authority;</w:t>
      </w:r>
    </w:p>
    <w:p w14:paraId="2CD304EB" w14:textId="12565A9C" w:rsidR="00A5149E" w:rsidRDefault="00BB47F7" w:rsidP="00A5149E">
      <w:pPr>
        <w:pStyle w:val="ListParagraph"/>
        <w:numPr>
          <w:ilvl w:val="0"/>
          <w:numId w:val="8"/>
        </w:numPr>
        <w:ind w:right="-188"/>
        <w:rPr>
          <w:rFonts w:ascii="Verdana" w:hAnsi="Verdana"/>
          <w:sz w:val="24"/>
          <w:szCs w:val="24"/>
        </w:rPr>
      </w:pPr>
      <w:r>
        <w:rPr>
          <w:rFonts w:ascii="Verdana" w:hAnsi="Verdana"/>
          <w:sz w:val="24"/>
          <w:szCs w:val="24"/>
        </w:rPr>
        <w:t>Status of being co-applicants in application of EPSL;</w:t>
      </w:r>
    </w:p>
    <w:p w14:paraId="15DEDE21" w14:textId="464817E2" w:rsidR="00BB47F7" w:rsidRDefault="00AB79C5" w:rsidP="00A5149E">
      <w:pPr>
        <w:pStyle w:val="ListParagraph"/>
        <w:numPr>
          <w:ilvl w:val="0"/>
          <w:numId w:val="8"/>
        </w:numPr>
        <w:ind w:right="-188"/>
        <w:rPr>
          <w:rFonts w:ascii="Verdana" w:hAnsi="Verdana"/>
          <w:sz w:val="24"/>
          <w:szCs w:val="24"/>
        </w:rPr>
      </w:pPr>
      <w:r>
        <w:rPr>
          <w:rFonts w:ascii="Verdana" w:hAnsi="Verdana"/>
          <w:sz w:val="24"/>
          <w:szCs w:val="24"/>
        </w:rPr>
        <w:t>Intervenors were in the status of impleader;</w:t>
      </w:r>
    </w:p>
    <w:p w14:paraId="56C90561" w14:textId="141C72D5" w:rsidR="00AB79C5" w:rsidRDefault="00AB79C5" w:rsidP="00A5149E">
      <w:pPr>
        <w:pStyle w:val="ListParagraph"/>
        <w:numPr>
          <w:ilvl w:val="0"/>
          <w:numId w:val="8"/>
        </w:numPr>
        <w:ind w:right="-188"/>
        <w:rPr>
          <w:rFonts w:ascii="Verdana" w:hAnsi="Verdana"/>
          <w:sz w:val="24"/>
          <w:szCs w:val="24"/>
        </w:rPr>
      </w:pPr>
      <w:r>
        <w:rPr>
          <w:rFonts w:ascii="Verdana" w:hAnsi="Verdana"/>
          <w:sz w:val="24"/>
          <w:szCs w:val="24"/>
        </w:rPr>
        <w:t>Question raised by the two present applicants was same as that by EPSL;</w:t>
      </w:r>
    </w:p>
    <w:p w14:paraId="226E064F" w14:textId="219779E9" w:rsidR="00AB79C5" w:rsidRDefault="00AB79C5" w:rsidP="00A5149E">
      <w:pPr>
        <w:pStyle w:val="ListParagraph"/>
        <w:numPr>
          <w:ilvl w:val="0"/>
          <w:numId w:val="8"/>
        </w:numPr>
        <w:ind w:right="-188"/>
        <w:rPr>
          <w:rFonts w:ascii="Verdana" w:hAnsi="Verdana"/>
          <w:sz w:val="24"/>
          <w:szCs w:val="24"/>
        </w:rPr>
      </w:pPr>
      <w:r>
        <w:rPr>
          <w:rFonts w:ascii="Verdana" w:hAnsi="Verdana"/>
          <w:sz w:val="24"/>
          <w:szCs w:val="24"/>
        </w:rPr>
        <w:t>Withdrawal of application by EPSL was commercial arrangement between the parties, that is, between EPSL &amp; the two applicants; and</w:t>
      </w:r>
    </w:p>
    <w:p w14:paraId="2E85E6A7" w14:textId="4B2C9751" w:rsidR="00AB79C5" w:rsidRDefault="00AB79C5" w:rsidP="00A5149E">
      <w:pPr>
        <w:pStyle w:val="ListParagraph"/>
        <w:numPr>
          <w:ilvl w:val="0"/>
          <w:numId w:val="8"/>
        </w:numPr>
        <w:ind w:right="-188"/>
        <w:rPr>
          <w:rFonts w:ascii="Verdana" w:hAnsi="Verdana"/>
          <w:sz w:val="24"/>
          <w:szCs w:val="24"/>
        </w:rPr>
      </w:pPr>
      <w:r>
        <w:rPr>
          <w:rFonts w:ascii="Verdana" w:hAnsi="Verdana"/>
          <w:sz w:val="24"/>
          <w:szCs w:val="24"/>
        </w:rPr>
        <w:t>“Other Proceedings” used in the order of withdrawal dated 01/07/2011 by Hon’ble Authority means any proceeding other than the AAR.</w:t>
      </w:r>
    </w:p>
    <w:p w14:paraId="568ED2DE" w14:textId="18293B00" w:rsidR="00AB79C5" w:rsidRPr="00E03B0A" w:rsidRDefault="00AB79C5" w:rsidP="00AB79C5">
      <w:pPr>
        <w:ind w:left="1080" w:right="-188"/>
        <w:rPr>
          <w:rFonts w:ascii="Verdana" w:hAnsi="Verdana"/>
          <w:b/>
          <w:sz w:val="24"/>
          <w:szCs w:val="24"/>
          <w:u w:val="single"/>
        </w:rPr>
      </w:pPr>
      <w:r w:rsidRPr="00E03B0A">
        <w:rPr>
          <w:rFonts w:ascii="Verdana" w:hAnsi="Verdana"/>
          <w:b/>
          <w:sz w:val="24"/>
          <w:szCs w:val="24"/>
          <w:u w:val="single"/>
        </w:rPr>
        <w:t xml:space="preserve">Revenue’s </w:t>
      </w:r>
      <w:r w:rsidR="00E03B0A" w:rsidRPr="00E03B0A">
        <w:rPr>
          <w:rFonts w:ascii="Verdana" w:hAnsi="Verdana"/>
          <w:b/>
          <w:sz w:val="24"/>
          <w:szCs w:val="24"/>
          <w:u w:val="single"/>
        </w:rPr>
        <w:t>response to above points:</w:t>
      </w:r>
    </w:p>
    <w:p w14:paraId="08B5D6B2" w14:textId="1D1D08FF" w:rsidR="00AB79C5" w:rsidRDefault="00AB79C5" w:rsidP="00AB79C5">
      <w:pPr>
        <w:ind w:left="1080" w:right="-188"/>
        <w:rPr>
          <w:rFonts w:ascii="Verdana" w:hAnsi="Verdana"/>
          <w:sz w:val="24"/>
          <w:szCs w:val="24"/>
        </w:rPr>
      </w:pPr>
      <w:r>
        <w:rPr>
          <w:rFonts w:ascii="Verdana" w:hAnsi="Verdana"/>
          <w:sz w:val="24"/>
          <w:szCs w:val="24"/>
        </w:rPr>
        <w:t>Revenue’s response to the arguments canvassed by and on behalf of the two applicants is submitted for kind consideration of Hon’ble Authority</w:t>
      </w:r>
      <w:r w:rsidR="00E03B0A">
        <w:rPr>
          <w:rFonts w:ascii="Verdana" w:hAnsi="Verdana"/>
          <w:sz w:val="24"/>
          <w:szCs w:val="24"/>
        </w:rPr>
        <w:t>: -</w:t>
      </w:r>
    </w:p>
    <w:p w14:paraId="062F04DB" w14:textId="77777777" w:rsidR="00FD30DD" w:rsidRDefault="00E03B0A" w:rsidP="00AB79C5">
      <w:pPr>
        <w:ind w:left="1080" w:right="-188"/>
        <w:rPr>
          <w:rFonts w:ascii="Verdana" w:hAnsi="Verdana"/>
          <w:sz w:val="24"/>
          <w:szCs w:val="24"/>
        </w:rPr>
      </w:pPr>
      <w:r w:rsidRPr="00D0775A">
        <w:rPr>
          <w:rFonts w:ascii="Verdana" w:hAnsi="Verdana"/>
          <w:b/>
          <w:sz w:val="24"/>
          <w:szCs w:val="24"/>
        </w:rPr>
        <w:t>1</w:t>
      </w:r>
      <w:r>
        <w:rPr>
          <w:rFonts w:ascii="Verdana" w:hAnsi="Verdana"/>
          <w:sz w:val="24"/>
          <w:szCs w:val="24"/>
        </w:rPr>
        <w:t xml:space="preserve">.It is a fact that the two applicants did not mention of this fact in their applications &amp; are now arguing that this suppression of mention of the fact of filing intervention application on 24/05/2011 cannot be said to be a material fact. This contention is grossly misplaced and hyper technical. Annexure 1 which is part of the application contains statement of relevant facts having bearing on the question raised. Once having declared in their intervention applications made on 24/05/2011 that the two applicants </w:t>
      </w:r>
      <w:r w:rsidR="00C119CA">
        <w:rPr>
          <w:rFonts w:ascii="Verdana" w:hAnsi="Verdana"/>
          <w:sz w:val="24"/>
          <w:szCs w:val="24"/>
        </w:rPr>
        <w:t xml:space="preserve">were </w:t>
      </w:r>
      <w:r w:rsidR="00583395" w:rsidRPr="00583395">
        <w:rPr>
          <w:rFonts w:ascii="Verdana" w:hAnsi="Verdana"/>
          <w:i/>
          <w:sz w:val="24"/>
          <w:szCs w:val="24"/>
          <w:u w:val="single"/>
        </w:rPr>
        <w:t>vitally concerned, interested and affected in the principal issue on which ruling was being sought for by EPSL</w:t>
      </w:r>
      <w:r w:rsidR="00583395" w:rsidRPr="00E55043">
        <w:rPr>
          <w:rFonts w:ascii="Verdana" w:hAnsi="Verdana"/>
          <w:i/>
          <w:sz w:val="24"/>
          <w:szCs w:val="24"/>
        </w:rPr>
        <w:t xml:space="preserve">, </w:t>
      </w:r>
      <w:r w:rsidR="00583395" w:rsidRPr="00583395">
        <w:rPr>
          <w:rFonts w:ascii="Verdana" w:hAnsi="Verdana"/>
          <w:sz w:val="24"/>
          <w:szCs w:val="24"/>
        </w:rPr>
        <w:t xml:space="preserve">such an argument </w:t>
      </w:r>
      <w:r w:rsidR="00583395">
        <w:rPr>
          <w:rFonts w:ascii="Verdana" w:hAnsi="Verdana"/>
          <w:sz w:val="24"/>
          <w:szCs w:val="24"/>
        </w:rPr>
        <w:t>is not only fallacious but ridiculous as well.</w:t>
      </w:r>
      <w:r w:rsidR="00E55043">
        <w:rPr>
          <w:rFonts w:ascii="Verdana" w:hAnsi="Verdana"/>
          <w:sz w:val="24"/>
          <w:szCs w:val="24"/>
        </w:rPr>
        <w:t xml:space="preserve"> The argument, that the applications are filed with Hon’ble Authority and suppression thereof in these applications could not serve any purpose as this fact ultimately would have come within the knowledge of Hon’ble Authority, is also fallacious and immaterial in the sense that it is the act of the parties which needs to be seen and not what would have happened at a later point of time.</w:t>
      </w:r>
      <w:r w:rsidR="00FD30DD">
        <w:rPr>
          <w:rFonts w:ascii="Verdana" w:hAnsi="Verdana"/>
          <w:sz w:val="24"/>
          <w:szCs w:val="24"/>
        </w:rPr>
        <w:t xml:space="preserve"> This fact could have gone unnoticed with the changes in the constitution of a Bench and changes effected in the respondent-department. There was continuity of persons involved which may be a coincidence.</w:t>
      </w:r>
    </w:p>
    <w:p w14:paraId="3AEF367A" w14:textId="77777777" w:rsidR="00F65F6C" w:rsidRDefault="00FD30DD" w:rsidP="00AB79C5">
      <w:pPr>
        <w:ind w:left="1080" w:right="-188"/>
        <w:rPr>
          <w:rFonts w:ascii="Verdana" w:hAnsi="Verdana"/>
          <w:sz w:val="24"/>
          <w:szCs w:val="24"/>
        </w:rPr>
      </w:pPr>
      <w:r w:rsidRPr="00D0775A">
        <w:rPr>
          <w:rFonts w:ascii="Verdana" w:hAnsi="Verdana"/>
          <w:b/>
          <w:sz w:val="24"/>
          <w:szCs w:val="24"/>
        </w:rPr>
        <w:lastRenderedPageBreak/>
        <w:t>2</w:t>
      </w:r>
      <w:r>
        <w:rPr>
          <w:rFonts w:ascii="Verdana" w:hAnsi="Verdana"/>
          <w:sz w:val="24"/>
          <w:szCs w:val="24"/>
        </w:rPr>
        <w:t xml:space="preserve">. </w:t>
      </w:r>
      <w:r w:rsidR="0021267E">
        <w:rPr>
          <w:rFonts w:ascii="Verdana" w:hAnsi="Verdana"/>
          <w:sz w:val="24"/>
          <w:szCs w:val="24"/>
        </w:rPr>
        <w:t>As for withdrawal permitted by Hon’ble Authority is concerned, the argument that it is inherent right of a judicial forum, is not denied. But, the withdrawal would have an effect on both the parties, that is, the main applicant as well on the intervenors</w:t>
      </w:r>
      <w:r w:rsidR="00322449">
        <w:rPr>
          <w:rFonts w:ascii="Verdana" w:hAnsi="Verdana"/>
          <w:sz w:val="24"/>
          <w:szCs w:val="24"/>
        </w:rPr>
        <w:t>.</w:t>
      </w:r>
      <w:r>
        <w:rPr>
          <w:rFonts w:ascii="Verdana" w:hAnsi="Verdana"/>
          <w:sz w:val="24"/>
          <w:szCs w:val="24"/>
        </w:rPr>
        <w:t xml:space="preserve">  </w:t>
      </w:r>
    </w:p>
    <w:p w14:paraId="07D70561" w14:textId="4E73E3EB" w:rsidR="000E0C82" w:rsidRDefault="00F65F6C" w:rsidP="00AB79C5">
      <w:pPr>
        <w:ind w:left="1080" w:right="-188"/>
        <w:rPr>
          <w:rFonts w:ascii="Verdana" w:hAnsi="Verdana"/>
          <w:sz w:val="24"/>
          <w:szCs w:val="24"/>
        </w:rPr>
      </w:pPr>
      <w:r w:rsidRPr="00D0775A">
        <w:rPr>
          <w:rFonts w:ascii="Verdana" w:hAnsi="Verdana"/>
          <w:b/>
          <w:sz w:val="24"/>
          <w:szCs w:val="24"/>
        </w:rPr>
        <w:t>3</w:t>
      </w:r>
      <w:r>
        <w:rPr>
          <w:rFonts w:ascii="Verdana" w:hAnsi="Verdana"/>
          <w:sz w:val="24"/>
          <w:szCs w:val="24"/>
        </w:rPr>
        <w:t xml:space="preserve">. Status of being co-applicants- If the provisions dealing with the definition of the term “ Applicant” contained in </w:t>
      </w:r>
      <w:r w:rsidR="002920FC">
        <w:rPr>
          <w:rFonts w:ascii="Verdana" w:hAnsi="Verdana"/>
          <w:sz w:val="24"/>
          <w:szCs w:val="24"/>
        </w:rPr>
        <w:t>Section 245N (b) of the Act are read with the definitions of the term “ Application” contained in Rule 2 (d), of the term “Order” contained in the same Rule 2 and Rules (5) and (28) of the Authority Procedure Rules</w:t>
      </w:r>
      <w:r w:rsidR="000E0C82">
        <w:rPr>
          <w:rFonts w:ascii="Verdana" w:hAnsi="Verdana"/>
          <w:sz w:val="24"/>
          <w:szCs w:val="24"/>
        </w:rPr>
        <w:t>, 1996,</w:t>
      </w:r>
      <w:r w:rsidR="002920FC">
        <w:rPr>
          <w:rFonts w:ascii="Verdana" w:hAnsi="Verdana"/>
          <w:sz w:val="24"/>
          <w:szCs w:val="24"/>
        </w:rPr>
        <w:t xml:space="preserve"> would result in an inescapable </w:t>
      </w:r>
      <w:r w:rsidR="00B313B9">
        <w:rPr>
          <w:rFonts w:ascii="Verdana" w:hAnsi="Verdana"/>
          <w:sz w:val="24"/>
          <w:szCs w:val="24"/>
        </w:rPr>
        <w:t>conclusion</w:t>
      </w:r>
      <w:r w:rsidR="002920FC">
        <w:rPr>
          <w:rFonts w:ascii="Verdana" w:hAnsi="Verdana"/>
          <w:sz w:val="24"/>
          <w:szCs w:val="24"/>
        </w:rPr>
        <w:t xml:space="preserve"> that the order of withdrawal passed on 01/07/2011 by Hon’ble Authority in the </w:t>
      </w:r>
      <w:r w:rsidR="00434B60">
        <w:rPr>
          <w:rFonts w:ascii="Verdana" w:hAnsi="Verdana"/>
          <w:sz w:val="24"/>
          <w:szCs w:val="24"/>
        </w:rPr>
        <w:t xml:space="preserve">presence of the then applicant </w:t>
      </w:r>
      <w:r w:rsidR="002920FC">
        <w:rPr>
          <w:rFonts w:ascii="Verdana" w:hAnsi="Verdana"/>
          <w:sz w:val="24"/>
          <w:szCs w:val="24"/>
        </w:rPr>
        <w:t>EPSL</w:t>
      </w:r>
      <w:r w:rsidR="00434B60">
        <w:rPr>
          <w:rFonts w:ascii="Verdana" w:hAnsi="Verdana"/>
          <w:sz w:val="24"/>
          <w:szCs w:val="24"/>
        </w:rPr>
        <w:t>,</w:t>
      </w:r>
      <w:r w:rsidR="002920FC">
        <w:rPr>
          <w:rFonts w:ascii="Verdana" w:hAnsi="Verdana"/>
          <w:sz w:val="24"/>
          <w:szCs w:val="24"/>
        </w:rPr>
        <w:t xml:space="preserve"> would include and affect equally the applicant as well the intervenors. By this, the intervenors can not escape the rigor of that order and can have no other status but as co-applicants. The intervenors turned into the status of co-applicants once their application was duly admitted by Hon’ble Authority </w:t>
      </w:r>
      <w:r w:rsidR="000E0C82">
        <w:rPr>
          <w:rFonts w:ascii="Verdana" w:hAnsi="Verdana"/>
          <w:sz w:val="24"/>
          <w:szCs w:val="24"/>
        </w:rPr>
        <w:t xml:space="preserve">considering the same as necessary for a complete and effective disposal of the application including that of the intervenors. The term “Application” is defined in Rule 2 (d) of the Authority Procedure Rules, 1996 as to mean an application made under sub-section (1) of Section 245Q of the Act but shall also include, where the context permits, all applications, petitions and representations of the nature referred to in Rule (5). </w:t>
      </w:r>
    </w:p>
    <w:p w14:paraId="348C9552" w14:textId="77777777" w:rsidR="000E0C82" w:rsidRDefault="000E0C82" w:rsidP="00AB79C5">
      <w:pPr>
        <w:ind w:left="1080" w:right="-188"/>
        <w:rPr>
          <w:rFonts w:ascii="Verdana" w:hAnsi="Verdana"/>
          <w:sz w:val="24"/>
          <w:szCs w:val="24"/>
        </w:rPr>
      </w:pPr>
      <w:r>
        <w:rPr>
          <w:rFonts w:ascii="Verdana" w:hAnsi="Verdana"/>
          <w:sz w:val="24"/>
          <w:szCs w:val="24"/>
        </w:rPr>
        <w:t>The argument that:</w:t>
      </w:r>
    </w:p>
    <w:p w14:paraId="5CCF4BC0" w14:textId="0485FA48" w:rsidR="000E0C82" w:rsidRPr="000E0C82" w:rsidRDefault="000E0C82" w:rsidP="000E0C82">
      <w:pPr>
        <w:pStyle w:val="ListParagraph"/>
        <w:numPr>
          <w:ilvl w:val="0"/>
          <w:numId w:val="12"/>
        </w:numPr>
        <w:ind w:right="-188"/>
        <w:rPr>
          <w:rFonts w:ascii="Verdana" w:hAnsi="Verdana"/>
          <w:sz w:val="24"/>
          <w:szCs w:val="24"/>
        </w:rPr>
      </w:pPr>
      <w:r w:rsidRPr="000E0C82">
        <w:rPr>
          <w:rFonts w:ascii="Verdana" w:hAnsi="Verdana"/>
          <w:sz w:val="24"/>
          <w:szCs w:val="24"/>
        </w:rPr>
        <w:t>the intervenors did not file application in Form 34C;</w:t>
      </w:r>
    </w:p>
    <w:p w14:paraId="06B5B8FA" w14:textId="2F1D450C" w:rsidR="000E0C82" w:rsidRDefault="004B680E" w:rsidP="000E0C82">
      <w:pPr>
        <w:pStyle w:val="ListParagraph"/>
        <w:numPr>
          <w:ilvl w:val="0"/>
          <w:numId w:val="12"/>
        </w:numPr>
        <w:ind w:right="-188"/>
        <w:rPr>
          <w:rFonts w:ascii="Verdana" w:hAnsi="Verdana"/>
          <w:sz w:val="24"/>
          <w:szCs w:val="24"/>
        </w:rPr>
      </w:pPr>
      <w:r>
        <w:rPr>
          <w:rFonts w:ascii="Verdana" w:hAnsi="Verdana"/>
          <w:sz w:val="24"/>
          <w:szCs w:val="24"/>
        </w:rPr>
        <w:t>the intervenors were not given any application numbers;</w:t>
      </w:r>
    </w:p>
    <w:p w14:paraId="10EE9915" w14:textId="6C525486" w:rsidR="004B680E" w:rsidRDefault="004B680E" w:rsidP="000E0C82">
      <w:pPr>
        <w:pStyle w:val="ListParagraph"/>
        <w:numPr>
          <w:ilvl w:val="0"/>
          <w:numId w:val="12"/>
        </w:numPr>
        <w:ind w:right="-188"/>
        <w:rPr>
          <w:rFonts w:ascii="Verdana" w:hAnsi="Verdana"/>
          <w:sz w:val="24"/>
          <w:szCs w:val="24"/>
        </w:rPr>
      </w:pPr>
      <w:r>
        <w:rPr>
          <w:rFonts w:ascii="Verdana" w:hAnsi="Verdana"/>
          <w:sz w:val="24"/>
          <w:szCs w:val="24"/>
        </w:rPr>
        <w:t>the intervenors did not frame any question for which advance ruling was sought; and that</w:t>
      </w:r>
    </w:p>
    <w:p w14:paraId="2D817D4F" w14:textId="31977A78" w:rsidR="004B680E" w:rsidRDefault="004B680E" w:rsidP="000E0C82">
      <w:pPr>
        <w:pStyle w:val="ListParagraph"/>
        <w:numPr>
          <w:ilvl w:val="0"/>
          <w:numId w:val="12"/>
        </w:numPr>
        <w:ind w:right="-188"/>
        <w:rPr>
          <w:rFonts w:ascii="Verdana" w:hAnsi="Verdana"/>
          <w:sz w:val="24"/>
          <w:szCs w:val="24"/>
        </w:rPr>
      </w:pPr>
      <w:r>
        <w:rPr>
          <w:rFonts w:ascii="Verdana" w:hAnsi="Verdana"/>
          <w:sz w:val="24"/>
          <w:szCs w:val="24"/>
        </w:rPr>
        <w:t>there is no concept of co-applicants in the context of proceedings before the Hon’ble Authority,</w:t>
      </w:r>
    </w:p>
    <w:p w14:paraId="1B421A9F" w14:textId="2585E1EE" w:rsidR="004B680E" w:rsidRPr="004C68E7" w:rsidRDefault="004B680E" w:rsidP="004B680E">
      <w:pPr>
        <w:ind w:left="1080" w:right="-188"/>
        <w:rPr>
          <w:rFonts w:ascii="Verdana" w:hAnsi="Verdana"/>
          <w:sz w:val="24"/>
          <w:szCs w:val="24"/>
        </w:rPr>
      </w:pPr>
      <w:r>
        <w:rPr>
          <w:rFonts w:ascii="Verdana" w:hAnsi="Verdana"/>
          <w:sz w:val="24"/>
          <w:szCs w:val="24"/>
        </w:rPr>
        <w:t xml:space="preserve">are misplaced arguments once the scheme of the entire Chapter XIX-B is read in harmony with the relevant Rules. The argument Whether a number is given or not or that application is filed in Form 34C or not, doesn’t lead to decide the status of the applications/applicants. These are purely procedural aspects. Even the payment of fees with the application or not paid would not alter the position. The Rules are to be interpreted in conjunction with the substantive provisions of the Act to construe the true and correct interpretation to make the provisions workable. It is a fact that Hon’ble Authority was required to pronounce ruling in relation to the transaction which involved purchase by the then applicant, EPSL and sale by the two present applicants and whether tax was to be deducted on the gains arising therefrom in the hands of the present two applicants. So </w:t>
      </w:r>
      <w:r w:rsidR="00B13E85">
        <w:rPr>
          <w:rFonts w:ascii="Verdana" w:hAnsi="Verdana"/>
          <w:sz w:val="24"/>
          <w:szCs w:val="24"/>
        </w:rPr>
        <w:t xml:space="preserve">once the present two applicants declared that they were </w:t>
      </w:r>
      <w:r w:rsidR="004C68E7" w:rsidRPr="004C68E7">
        <w:rPr>
          <w:rFonts w:ascii="Verdana" w:hAnsi="Verdana"/>
          <w:i/>
          <w:sz w:val="24"/>
          <w:szCs w:val="24"/>
          <w:u w:val="single"/>
        </w:rPr>
        <w:t xml:space="preserve">vitally concerned, interested and affected in the principal </w:t>
      </w:r>
      <w:r w:rsidR="004C68E7" w:rsidRPr="004C68E7">
        <w:rPr>
          <w:rFonts w:ascii="Verdana" w:hAnsi="Verdana"/>
          <w:i/>
          <w:sz w:val="24"/>
          <w:szCs w:val="24"/>
          <w:u w:val="single"/>
        </w:rPr>
        <w:lastRenderedPageBreak/>
        <w:t>issue on which ruling was being sought for by EPSL</w:t>
      </w:r>
      <w:r w:rsidR="004C68E7">
        <w:rPr>
          <w:rFonts w:ascii="Verdana" w:hAnsi="Verdana"/>
          <w:i/>
          <w:sz w:val="24"/>
          <w:szCs w:val="24"/>
          <w:u w:val="single"/>
        </w:rPr>
        <w:t xml:space="preserve">, </w:t>
      </w:r>
      <w:r w:rsidR="004C68E7" w:rsidRPr="004C68E7">
        <w:rPr>
          <w:rFonts w:ascii="Verdana" w:hAnsi="Verdana"/>
          <w:sz w:val="24"/>
          <w:szCs w:val="24"/>
        </w:rPr>
        <w:t>raising separate question in their applications for intervention was a mere formality</w:t>
      </w:r>
      <w:r w:rsidR="004C68E7">
        <w:rPr>
          <w:rFonts w:ascii="Verdana" w:hAnsi="Verdana"/>
          <w:sz w:val="24"/>
          <w:szCs w:val="24"/>
        </w:rPr>
        <w:t xml:space="preserve"> and the</w:t>
      </w:r>
      <w:r w:rsidR="00434B60">
        <w:rPr>
          <w:rFonts w:ascii="Verdana" w:hAnsi="Verdana"/>
          <w:sz w:val="24"/>
          <w:szCs w:val="24"/>
        </w:rPr>
        <w:t>ir</w:t>
      </w:r>
      <w:r w:rsidR="004C68E7">
        <w:rPr>
          <w:rFonts w:ascii="Verdana" w:hAnsi="Verdana"/>
          <w:sz w:val="24"/>
          <w:szCs w:val="24"/>
        </w:rPr>
        <w:t xml:space="preserve"> intention </w:t>
      </w:r>
      <w:r w:rsidR="00434B60">
        <w:rPr>
          <w:rFonts w:ascii="Verdana" w:hAnsi="Verdana"/>
          <w:sz w:val="24"/>
          <w:szCs w:val="24"/>
        </w:rPr>
        <w:t xml:space="preserve">to join the applicant, EPSL </w:t>
      </w:r>
      <w:r w:rsidR="004C68E7">
        <w:rPr>
          <w:rFonts w:ascii="Verdana" w:hAnsi="Verdana"/>
          <w:sz w:val="24"/>
          <w:szCs w:val="24"/>
        </w:rPr>
        <w:t>was very well reflected in their applications that for what purpose and with what intent, the applications for intervention were being filed.</w:t>
      </w:r>
    </w:p>
    <w:p w14:paraId="5D92AC0B" w14:textId="7A9DDE3E" w:rsidR="00A57C8F" w:rsidRDefault="000E0C82" w:rsidP="00F8669E">
      <w:pPr>
        <w:pStyle w:val="ListParagraph"/>
        <w:numPr>
          <w:ilvl w:val="0"/>
          <w:numId w:val="7"/>
        </w:numPr>
        <w:ind w:right="-188"/>
        <w:rPr>
          <w:rFonts w:ascii="Verdana" w:hAnsi="Verdana"/>
          <w:sz w:val="24"/>
          <w:szCs w:val="24"/>
        </w:rPr>
      </w:pPr>
      <w:r w:rsidRPr="00F8669E">
        <w:rPr>
          <w:rFonts w:ascii="Verdana" w:hAnsi="Verdana"/>
          <w:sz w:val="24"/>
          <w:szCs w:val="24"/>
        </w:rPr>
        <w:t>Intervenors as impleaders</w:t>
      </w:r>
      <w:r w:rsidR="00D0775A" w:rsidRPr="00F8669E">
        <w:rPr>
          <w:rFonts w:ascii="Verdana" w:hAnsi="Verdana"/>
          <w:sz w:val="24"/>
          <w:szCs w:val="24"/>
        </w:rPr>
        <w:t xml:space="preserve">- It was clearly explained by and on behalf of the Revenue that once an application for intervention is filed by intervenors and the Court is satisfied then the Court would implead that person as a necessary party so that effective and complete disposal of the application by the applicant </w:t>
      </w:r>
      <w:r w:rsidR="00014E84">
        <w:rPr>
          <w:rFonts w:ascii="Verdana" w:hAnsi="Verdana"/>
          <w:sz w:val="24"/>
          <w:szCs w:val="24"/>
        </w:rPr>
        <w:t xml:space="preserve">which shall also include applications of the two intervenors </w:t>
      </w:r>
      <w:r w:rsidR="00D0775A" w:rsidRPr="00F8669E">
        <w:rPr>
          <w:rFonts w:ascii="Verdana" w:hAnsi="Verdana"/>
          <w:sz w:val="24"/>
          <w:szCs w:val="24"/>
        </w:rPr>
        <w:t xml:space="preserve">can be done. This would have an </w:t>
      </w:r>
      <w:r w:rsidR="00014E84">
        <w:rPr>
          <w:rFonts w:ascii="Verdana" w:hAnsi="Verdana"/>
          <w:sz w:val="24"/>
          <w:szCs w:val="24"/>
        </w:rPr>
        <w:t xml:space="preserve">equal </w:t>
      </w:r>
      <w:r w:rsidR="00D0775A" w:rsidRPr="00F8669E">
        <w:rPr>
          <w:rFonts w:ascii="Verdana" w:hAnsi="Verdana"/>
          <w:sz w:val="24"/>
          <w:szCs w:val="24"/>
        </w:rPr>
        <w:t>effect on the intervenors as well.</w:t>
      </w:r>
    </w:p>
    <w:p w14:paraId="0F5A6044" w14:textId="7FC2570E" w:rsidR="00F8669E" w:rsidRPr="00F8669E" w:rsidRDefault="00D0775A" w:rsidP="00A57C8F">
      <w:pPr>
        <w:pStyle w:val="ListParagraph"/>
        <w:ind w:left="1440" w:right="-188"/>
        <w:rPr>
          <w:rFonts w:ascii="Verdana" w:hAnsi="Verdana"/>
          <w:sz w:val="24"/>
          <w:szCs w:val="24"/>
        </w:rPr>
      </w:pPr>
      <w:r w:rsidRPr="00F8669E">
        <w:rPr>
          <w:rFonts w:ascii="Verdana" w:hAnsi="Verdana"/>
          <w:sz w:val="24"/>
          <w:szCs w:val="24"/>
        </w:rPr>
        <w:t xml:space="preserve"> </w:t>
      </w:r>
      <w:r w:rsidR="002920FC" w:rsidRPr="00F8669E">
        <w:rPr>
          <w:rFonts w:ascii="Verdana" w:hAnsi="Verdana"/>
          <w:sz w:val="24"/>
          <w:szCs w:val="24"/>
        </w:rPr>
        <w:t xml:space="preserve">   </w:t>
      </w:r>
      <w:r w:rsidR="00F65F6C" w:rsidRPr="00F8669E">
        <w:rPr>
          <w:rFonts w:ascii="Verdana" w:hAnsi="Verdana"/>
          <w:sz w:val="24"/>
          <w:szCs w:val="24"/>
        </w:rPr>
        <w:t xml:space="preserve"> </w:t>
      </w:r>
      <w:r w:rsidR="00E55043" w:rsidRPr="00F8669E">
        <w:rPr>
          <w:rFonts w:ascii="Verdana" w:hAnsi="Verdana"/>
          <w:sz w:val="24"/>
          <w:szCs w:val="24"/>
        </w:rPr>
        <w:t xml:space="preserve"> </w:t>
      </w:r>
    </w:p>
    <w:p w14:paraId="41A06A17" w14:textId="0D07C996" w:rsidR="00A57C8F" w:rsidRPr="00A57C8F" w:rsidRDefault="00F8669E" w:rsidP="00A57C8F">
      <w:pPr>
        <w:pStyle w:val="ListParagraph"/>
        <w:numPr>
          <w:ilvl w:val="0"/>
          <w:numId w:val="7"/>
        </w:numPr>
        <w:ind w:right="-188"/>
        <w:rPr>
          <w:rFonts w:ascii="Verdana" w:hAnsi="Verdana"/>
          <w:b/>
          <w:sz w:val="24"/>
          <w:szCs w:val="24"/>
        </w:rPr>
      </w:pPr>
      <w:r w:rsidRPr="00A57C8F">
        <w:rPr>
          <w:rFonts w:ascii="Verdana" w:hAnsi="Verdana"/>
          <w:sz w:val="24"/>
          <w:szCs w:val="24"/>
        </w:rPr>
        <w:t xml:space="preserve">It has been argued that the question raised in present applications is </w:t>
      </w:r>
      <w:r w:rsidR="00A57C8F">
        <w:rPr>
          <w:rFonts w:ascii="Verdana" w:hAnsi="Verdana"/>
          <w:sz w:val="24"/>
          <w:szCs w:val="24"/>
        </w:rPr>
        <w:t>not the same</w:t>
      </w:r>
      <w:r w:rsidRPr="00A57C8F">
        <w:rPr>
          <w:rFonts w:ascii="Verdana" w:hAnsi="Verdana"/>
          <w:sz w:val="24"/>
          <w:szCs w:val="24"/>
        </w:rPr>
        <w:t xml:space="preserve"> </w:t>
      </w:r>
      <w:r w:rsidR="00A57C8F" w:rsidRPr="00A57C8F">
        <w:rPr>
          <w:rFonts w:ascii="Verdana" w:hAnsi="Verdana"/>
          <w:sz w:val="24"/>
          <w:szCs w:val="24"/>
        </w:rPr>
        <w:t xml:space="preserve">as the question for which ruling was </w:t>
      </w:r>
      <w:r w:rsidR="00A57C8F">
        <w:rPr>
          <w:rFonts w:ascii="Verdana" w:hAnsi="Verdana"/>
          <w:sz w:val="24"/>
          <w:szCs w:val="24"/>
        </w:rPr>
        <w:t>sought by EPSL in as much as the present applications:</w:t>
      </w:r>
    </w:p>
    <w:p w14:paraId="1F3DB2E0" w14:textId="77777777" w:rsidR="00A57C8F" w:rsidRPr="00A57C8F" w:rsidRDefault="00A57C8F" w:rsidP="00A57C8F">
      <w:pPr>
        <w:pStyle w:val="ListParagraph"/>
        <w:rPr>
          <w:rFonts w:ascii="Verdana" w:hAnsi="Verdana"/>
          <w:sz w:val="24"/>
          <w:szCs w:val="24"/>
        </w:rPr>
      </w:pPr>
    </w:p>
    <w:p w14:paraId="7ECD2627" w14:textId="1AA63922" w:rsidR="00A57C8F" w:rsidRDefault="00A57C8F" w:rsidP="00A57C8F">
      <w:pPr>
        <w:pStyle w:val="ListParagraph"/>
        <w:numPr>
          <w:ilvl w:val="0"/>
          <w:numId w:val="14"/>
        </w:numPr>
        <w:ind w:right="-188"/>
        <w:rPr>
          <w:rFonts w:ascii="Verdana" w:hAnsi="Verdana"/>
          <w:sz w:val="24"/>
          <w:szCs w:val="24"/>
        </w:rPr>
      </w:pPr>
      <w:r w:rsidRPr="00A57C8F">
        <w:rPr>
          <w:rFonts w:ascii="Verdana" w:hAnsi="Verdana"/>
          <w:sz w:val="24"/>
          <w:szCs w:val="24"/>
        </w:rPr>
        <w:t>Does not have question on withholding of taxes</w:t>
      </w:r>
      <w:r>
        <w:rPr>
          <w:rFonts w:ascii="Verdana" w:hAnsi="Verdana"/>
          <w:sz w:val="24"/>
          <w:szCs w:val="24"/>
        </w:rPr>
        <w:t>;</w:t>
      </w:r>
    </w:p>
    <w:p w14:paraId="1DF1966D" w14:textId="2084AFB8" w:rsidR="00A57C8F" w:rsidRDefault="00A57C8F" w:rsidP="00A57C8F">
      <w:pPr>
        <w:pStyle w:val="ListParagraph"/>
        <w:numPr>
          <w:ilvl w:val="0"/>
          <w:numId w:val="14"/>
        </w:numPr>
        <w:ind w:right="-188"/>
        <w:rPr>
          <w:rFonts w:ascii="Verdana" w:hAnsi="Verdana"/>
          <w:sz w:val="24"/>
          <w:szCs w:val="24"/>
        </w:rPr>
      </w:pPr>
      <w:r>
        <w:rPr>
          <w:rFonts w:ascii="Verdana" w:hAnsi="Verdana"/>
          <w:sz w:val="24"/>
          <w:szCs w:val="24"/>
        </w:rPr>
        <w:t>These raise issue on 115JB;</w:t>
      </w:r>
    </w:p>
    <w:p w14:paraId="1D55E4F0" w14:textId="1F2A0DD3" w:rsidR="00A57C8F" w:rsidRDefault="00A57C8F" w:rsidP="00A57C8F">
      <w:pPr>
        <w:pStyle w:val="ListParagraph"/>
        <w:numPr>
          <w:ilvl w:val="0"/>
          <w:numId w:val="14"/>
        </w:numPr>
        <w:ind w:right="-188"/>
        <w:rPr>
          <w:rFonts w:ascii="Verdana" w:hAnsi="Verdana"/>
          <w:sz w:val="24"/>
          <w:szCs w:val="24"/>
        </w:rPr>
      </w:pPr>
      <w:r>
        <w:rPr>
          <w:rFonts w:ascii="Verdana" w:hAnsi="Verdana"/>
          <w:sz w:val="24"/>
          <w:szCs w:val="24"/>
        </w:rPr>
        <w:t>Pertains to different put option agreement of 01/07/2011; and</w:t>
      </w:r>
    </w:p>
    <w:p w14:paraId="2B610F8D" w14:textId="4CBBE531" w:rsidR="00A57C8F" w:rsidRDefault="00A57C8F" w:rsidP="00A57C8F">
      <w:pPr>
        <w:pStyle w:val="ListParagraph"/>
        <w:numPr>
          <w:ilvl w:val="0"/>
          <w:numId w:val="14"/>
        </w:numPr>
        <w:ind w:right="-188"/>
        <w:rPr>
          <w:rFonts w:ascii="Verdana" w:hAnsi="Verdana"/>
          <w:sz w:val="24"/>
          <w:szCs w:val="24"/>
        </w:rPr>
      </w:pPr>
      <w:r>
        <w:rPr>
          <w:rFonts w:ascii="Verdana" w:hAnsi="Verdana"/>
          <w:sz w:val="24"/>
          <w:szCs w:val="24"/>
        </w:rPr>
        <w:t>Amount of consideration is different.</w:t>
      </w:r>
    </w:p>
    <w:p w14:paraId="5F545A19" w14:textId="72C40186" w:rsidR="00A57C8F" w:rsidRDefault="00A57C8F" w:rsidP="00A57C8F">
      <w:pPr>
        <w:ind w:left="1440" w:right="-188"/>
        <w:rPr>
          <w:rFonts w:ascii="Verdana" w:hAnsi="Verdana"/>
          <w:sz w:val="24"/>
          <w:szCs w:val="24"/>
        </w:rPr>
      </w:pPr>
      <w:r>
        <w:rPr>
          <w:rFonts w:ascii="Verdana" w:hAnsi="Verdana"/>
          <w:sz w:val="24"/>
          <w:szCs w:val="24"/>
        </w:rPr>
        <w:t>It is a question for consideration whether such issues would radically change the complexion of the case where transaction which requires to be determined remains the same, that is, transaction resulting into arising of capital gains in the hands of the two present applicants on the sale of the Shares of Vodafone India Limited</w:t>
      </w:r>
      <w:r w:rsidR="00EF2A11">
        <w:rPr>
          <w:rFonts w:ascii="Verdana" w:hAnsi="Verdana"/>
          <w:sz w:val="24"/>
          <w:szCs w:val="24"/>
        </w:rPr>
        <w:t xml:space="preserve"> to the seller, that is, EPSL who was an earlier applicant</w:t>
      </w:r>
      <w:r>
        <w:rPr>
          <w:rFonts w:ascii="Verdana" w:hAnsi="Verdana"/>
          <w:sz w:val="24"/>
          <w:szCs w:val="24"/>
        </w:rPr>
        <w:t xml:space="preserve"> </w:t>
      </w:r>
      <w:r w:rsidR="00EF2A11">
        <w:rPr>
          <w:rFonts w:ascii="Verdana" w:hAnsi="Verdana"/>
          <w:sz w:val="24"/>
          <w:szCs w:val="24"/>
        </w:rPr>
        <w:t>and with whom the present two applicants joined as intervenors before Hon’ble Authority to answer the issue whether tax is required to be deducted towards the capital gains arising to the two present applicants. The arguments canvassed are totally misplaced and irrelevant. Context remaining the same, the sit</w:t>
      </w:r>
      <w:r w:rsidR="00D429B1">
        <w:rPr>
          <w:rFonts w:ascii="Verdana" w:hAnsi="Verdana"/>
          <w:sz w:val="24"/>
          <w:szCs w:val="24"/>
        </w:rPr>
        <w:t xml:space="preserve">uation and circumstance do not </w:t>
      </w:r>
      <w:r w:rsidR="00EF2A11">
        <w:rPr>
          <w:rFonts w:ascii="Verdana" w:hAnsi="Verdana"/>
          <w:sz w:val="24"/>
          <w:szCs w:val="24"/>
        </w:rPr>
        <w:t>a</w:t>
      </w:r>
      <w:r w:rsidR="00D429B1">
        <w:rPr>
          <w:rFonts w:ascii="Verdana" w:hAnsi="Verdana"/>
          <w:sz w:val="24"/>
          <w:szCs w:val="24"/>
        </w:rPr>
        <w:t>l</w:t>
      </w:r>
      <w:r w:rsidR="00EF2A11">
        <w:rPr>
          <w:rFonts w:ascii="Verdana" w:hAnsi="Verdana"/>
          <w:sz w:val="24"/>
          <w:szCs w:val="24"/>
        </w:rPr>
        <w:t>ter. In order to consider this argument, let us compare the question raised in both the sets of applications:</w:t>
      </w:r>
    </w:p>
    <w:tbl>
      <w:tblPr>
        <w:tblStyle w:val="TableGrid"/>
        <w:tblW w:w="7769" w:type="dxa"/>
        <w:tblInd w:w="1440" w:type="dxa"/>
        <w:tblLook w:val="04A0" w:firstRow="1" w:lastRow="0" w:firstColumn="1" w:lastColumn="0" w:noHBand="0" w:noVBand="1"/>
      </w:tblPr>
      <w:tblGrid>
        <w:gridCol w:w="793"/>
        <w:gridCol w:w="3223"/>
        <w:gridCol w:w="3753"/>
      </w:tblGrid>
      <w:tr w:rsidR="00EF2A11" w14:paraId="075E4BFE" w14:textId="77777777" w:rsidTr="00B42DB5">
        <w:tc>
          <w:tcPr>
            <w:tcW w:w="793" w:type="dxa"/>
          </w:tcPr>
          <w:p w14:paraId="1148AAB4" w14:textId="7D711B2B" w:rsidR="00EF2A11" w:rsidRDefault="00EF2A11" w:rsidP="00A57C8F">
            <w:pPr>
              <w:ind w:right="-188"/>
              <w:rPr>
                <w:rFonts w:ascii="Verdana" w:hAnsi="Verdana"/>
                <w:sz w:val="24"/>
                <w:szCs w:val="24"/>
              </w:rPr>
            </w:pPr>
            <w:r>
              <w:rPr>
                <w:rFonts w:ascii="Verdana" w:hAnsi="Verdana"/>
                <w:sz w:val="24"/>
                <w:szCs w:val="24"/>
              </w:rPr>
              <w:t>S.No</w:t>
            </w:r>
          </w:p>
        </w:tc>
        <w:tc>
          <w:tcPr>
            <w:tcW w:w="3223" w:type="dxa"/>
          </w:tcPr>
          <w:p w14:paraId="2BC96B92" w14:textId="149D8BD6" w:rsidR="00EF2A11" w:rsidRDefault="00EF2A11" w:rsidP="00A57C8F">
            <w:pPr>
              <w:ind w:right="-188"/>
              <w:rPr>
                <w:rFonts w:ascii="Verdana" w:hAnsi="Verdana"/>
                <w:sz w:val="24"/>
                <w:szCs w:val="24"/>
              </w:rPr>
            </w:pPr>
            <w:r>
              <w:rPr>
                <w:rFonts w:ascii="Verdana" w:hAnsi="Verdana"/>
                <w:sz w:val="24"/>
                <w:szCs w:val="24"/>
              </w:rPr>
              <w:t xml:space="preserve">           EPSL</w:t>
            </w:r>
          </w:p>
        </w:tc>
        <w:tc>
          <w:tcPr>
            <w:tcW w:w="3753" w:type="dxa"/>
          </w:tcPr>
          <w:p w14:paraId="69309202" w14:textId="01FCB05C" w:rsidR="00EF2A11" w:rsidRDefault="00EF2A11" w:rsidP="00A57C8F">
            <w:pPr>
              <w:ind w:right="-188"/>
              <w:rPr>
                <w:rFonts w:ascii="Verdana" w:hAnsi="Verdana"/>
                <w:sz w:val="24"/>
                <w:szCs w:val="24"/>
              </w:rPr>
            </w:pPr>
            <w:r>
              <w:rPr>
                <w:rFonts w:ascii="Verdana" w:hAnsi="Verdana"/>
                <w:sz w:val="24"/>
                <w:szCs w:val="24"/>
              </w:rPr>
              <w:t xml:space="preserve">    Present Applicants</w:t>
            </w:r>
          </w:p>
        </w:tc>
      </w:tr>
      <w:tr w:rsidR="00EF2A11" w14:paraId="76583520" w14:textId="77777777" w:rsidTr="00B42DB5">
        <w:tc>
          <w:tcPr>
            <w:tcW w:w="793" w:type="dxa"/>
          </w:tcPr>
          <w:p w14:paraId="47960D04" w14:textId="4C64C992" w:rsidR="00EF2A11" w:rsidRDefault="00EF2A11" w:rsidP="00A57C8F">
            <w:pPr>
              <w:ind w:right="-188"/>
              <w:rPr>
                <w:rFonts w:ascii="Verdana" w:hAnsi="Verdana"/>
                <w:sz w:val="24"/>
                <w:szCs w:val="24"/>
              </w:rPr>
            </w:pPr>
            <w:r>
              <w:rPr>
                <w:rFonts w:ascii="Verdana" w:hAnsi="Verdana"/>
                <w:sz w:val="24"/>
                <w:szCs w:val="24"/>
              </w:rPr>
              <w:t>1.</w:t>
            </w:r>
          </w:p>
        </w:tc>
        <w:tc>
          <w:tcPr>
            <w:tcW w:w="3223" w:type="dxa"/>
          </w:tcPr>
          <w:p w14:paraId="627E1FB4" w14:textId="77A9B88C" w:rsidR="00EF2A11" w:rsidRDefault="004D6293" w:rsidP="00A57C8F">
            <w:pPr>
              <w:ind w:right="-188"/>
              <w:rPr>
                <w:rFonts w:ascii="Verdana" w:hAnsi="Verdana"/>
                <w:sz w:val="24"/>
                <w:szCs w:val="24"/>
              </w:rPr>
            </w:pPr>
            <w:r>
              <w:rPr>
                <w:rFonts w:ascii="Verdana" w:hAnsi="Verdana"/>
                <w:sz w:val="24"/>
                <w:szCs w:val="24"/>
              </w:rPr>
              <w:t>Whether on the stated facts and law, the transfer of shares of Vodafone Essar Limited, an Indian Compan</w:t>
            </w:r>
            <w:r w:rsidR="00B42DB5">
              <w:rPr>
                <w:rFonts w:ascii="Verdana" w:hAnsi="Verdana"/>
                <w:sz w:val="24"/>
                <w:szCs w:val="24"/>
              </w:rPr>
              <w:t>y</w:t>
            </w:r>
            <w:r>
              <w:rPr>
                <w:rFonts w:ascii="Verdana" w:hAnsi="Verdana"/>
                <w:sz w:val="24"/>
                <w:szCs w:val="24"/>
              </w:rPr>
              <w:t xml:space="preserve">, by Essar Com Limited &amp; Essar Communications Limited, both tax residents of </w:t>
            </w:r>
            <w:r w:rsidR="00B42DB5">
              <w:rPr>
                <w:rFonts w:ascii="Verdana" w:hAnsi="Verdana"/>
                <w:sz w:val="24"/>
                <w:szCs w:val="24"/>
              </w:rPr>
              <w:t>Mauritius,</w:t>
            </w:r>
            <w:r>
              <w:rPr>
                <w:rFonts w:ascii="Verdana" w:hAnsi="Verdana"/>
                <w:sz w:val="24"/>
                <w:szCs w:val="24"/>
              </w:rPr>
              <w:t xml:space="preserve"> to the applicant </w:t>
            </w:r>
            <w:r>
              <w:rPr>
                <w:rFonts w:ascii="Verdana" w:hAnsi="Verdana"/>
                <w:sz w:val="24"/>
                <w:szCs w:val="24"/>
              </w:rPr>
              <w:lastRenderedPageBreak/>
              <w:t xml:space="preserve">is chargeable to tax in India having regard to the </w:t>
            </w:r>
            <w:r w:rsidR="00B42DB5">
              <w:rPr>
                <w:rFonts w:ascii="Verdana" w:hAnsi="Verdana"/>
                <w:sz w:val="24"/>
                <w:szCs w:val="24"/>
              </w:rPr>
              <w:t>Double Taxation Avoidance Agreement between India and Mauritius.</w:t>
            </w:r>
          </w:p>
        </w:tc>
        <w:tc>
          <w:tcPr>
            <w:tcW w:w="3753" w:type="dxa"/>
          </w:tcPr>
          <w:p w14:paraId="1B9320A6" w14:textId="1979DA18" w:rsidR="00EF2A11" w:rsidRDefault="00B42DB5" w:rsidP="00A57C8F">
            <w:pPr>
              <w:ind w:right="-188"/>
              <w:rPr>
                <w:rFonts w:ascii="Verdana" w:hAnsi="Verdana"/>
                <w:sz w:val="24"/>
                <w:szCs w:val="24"/>
              </w:rPr>
            </w:pPr>
            <w:r>
              <w:rPr>
                <w:rFonts w:ascii="Verdana" w:hAnsi="Verdana"/>
                <w:sz w:val="24"/>
                <w:szCs w:val="24"/>
              </w:rPr>
              <w:lastRenderedPageBreak/>
              <w:t xml:space="preserve">Whether the applicant is chargeable to tax in India on the capital gains arising from the transfer of shares in Vodafone Essar Limited and revenue authorities should refund to Essar Communications Limited the </w:t>
            </w:r>
            <w:r>
              <w:rPr>
                <w:rFonts w:ascii="Verdana" w:hAnsi="Verdana"/>
                <w:sz w:val="24"/>
                <w:szCs w:val="24"/>
              </w:rPr>
              <w:lastRenderedPageBreak/>
              <w:t>TDS by EPSL from payment of sale price to the applicant.</w:t>
            </w:r>
          </w:p>
        </w:tc>
      </w:tr>
    </w:tbl>
    <w:p w14:paraId="66681781" w14:textId="56326EA9" w:rsidR="00EF2A11" w:rsidRDefault="00B42DB5" w:rsidP="00B42DB5">
      <w:pPr>
        <w:ind w:left="720" w:right="-188"/>
        <w:rPr>
          <w:rFonts w:ascii="Verdana" w:hAnsi="Verdana"/>
          <w:sz w:val="24"/>
          <w:szCs w:val="24"/>
        </w:rPr>
      </w:pPr>
      <w:r>
        <w:rPr>
          <w:rFonts w:ascii="Verdana" w:hAnsi="Verdana"/>
          <w:sz w:val="24"/>
          <w:szCs w:val="24"/>
        </w:rPr>
        <w:lastRenderedPageBreak/>
        <w:t>From a comparison of the two sets of questions above, one can infer that the essence of the transaction is purchase by one and sale of shares by the other. The determination by Hon’ble Authority is that of the said transaction</w:t>
      </w:r>
      <w:r w:rsidR="005813A7">
        <w:rPr>
          <w:rFonts w:ascii="Verdana" w:hAnsi="Verdana"/>
          <w:sz w:val="24"/>
          <w:szCs w:val="24"/>
        </w:rPr>
        <w:t xml:space="preserve"> in terms of the definition of “advance ruling” contained in section 245N (a) (i) of the Act</w:t>
      </w:r>
      <w:r>
        <w:rPr>
          <w:rFonts w:ascii="Verdana" w:hAnsi="Verdana"/>
          <w:sz w:val="24"/>
          <w:szCs w:val="24"/>
        </w:rPr>
        <w:t xml:space="preserve"> and taxability thereof in the hands of the sellers, that is Essar Com Limited and Essar Communications Limited and the obligation in a fiduciary capacity to deduct tax</w:t>
      </w:r>
      <w:r w:rsidR="00557F25">
        <w:rPr>
          <w:rFonts w:ascii="Verdana" w:hAnsi="Verdana"/>
          <w:sz w:val="24"/>
          <w:szCs w:val="24"/>
        </w:rPr>
        <w:t xml:space="preserve"> on gains arising to </w:t>
      </w:r>
      <w:r>
        <w:rPr>
          <w:rFonts w:ascii="Verdana" w:hAnsi="Verdana"/>
          <w:sz w:val="24"/>
          <w:szCs w:val="24"/>
        </w:rPr>
        <w:t>the purchaser, that is, EPSL.</w:t>
      </w:r>
    </w:p>
    <w:p w14:paraId="0399C223" w14:textId="77777777" w:rsidR="00181657" w:rsidRDefault="002439DF" w:rsidP="002439DF">
      <w:pPr>
        <w:ind w:left="720" w:right="-188"/>
        <w:rPr>
          <w:rFonts w:ascii="Verdana" w:hAnsi="Verdana"/>
          <w:sz w:val="24"/>
          <w:szCs w:val="24"/>
        </w:rPr>
      </w:pPr>
      <w:r w:rsidRPr="002439DF">
        <w:rPr>
          <w:rFonts w:ascii="Verdana" w:hAnsi="Verdana"/>
          <w:b/>
          <w:sz w:val="24"/>
          <w:szCs w:val="24"/>
        </w:rPr>
        <w:t>6</w:t>
      </w:r>
      <w:r>
        <w:rPr>
          <w:rFonts w:ascii="Verdana" w:hAnsi="Verdana"/>
          <w:sz w:val="24"/>
          <w:szCs w:val="24"/>
        </w:rPr>
        <w:t>.</w:t>
      </w:r>
      <w:r w:rsidR="00E20790" w:rsidRPr="002439DF">
        <w:rPr>
          <w:rFonts w:ascii="Verdana" w:hAnsi="Verdana"/>
          <w:sz w:val="24"/>
          <w:szCs w:val="24"/>
        </w:rPr>
        <w:t xml:space="preserve">It is further argued that the Revenue alleges that there was a commercial arrangement </w:t>
      </w:r>
      <w:r w:rsidRPr="002439DF">
        <w:rPr>
          <w:rFonts w:ascii="Verdana" w:hAnsi="Verdana"/>
          <w:sz w:val="24"/>
          <w:szCs w:val="24"/>
        </w:rPr>
        <w:t xml:space="preserve">between the deductor and the deductees </w:t>
      </w:r>
      <w:r>
        <w:rPr>
          <w:rFonts w:ascii="Verdana" w:hAnsi="Verdana"/>
          <w:sz w:val="24"/>
          <w:szCs w:val="24"/>
        </w:rPr>
        <w:t>in the wake of the withdrawal of application No 982 of 2010 in the form of the deed of amendment dated 01/07/2011, which is not correct for the reason that the applicants decided to sell shares to meet the obligation to repay the debt taken by ECML, the parent company and the decision to withdraw application was taken by EPSL. It is further argued that the intervenors did not had any right to prevent EPSL from withdrawing latter’s application. This argument is grossly fallacious when one views the stipulations contained in the agreement of 01/07/2011 executed by and between the applicants and EPSL along with other parties involved. The applicants recovered a part of the tax liability from EPSL which was falling upon them because of tax deducted at source by the payer,</w:t>
      </w:r>
      <w:r w:rsidR="00E06A52">
        <w:rPr>
          <w:rFonts w:ascii="Verdana" w:hAnsi="Verdana"/>
          <w:sz w:val="24"/>
          <w:szCs w:val="24"/>
        </w:rPr>
        <w:t xml:space="preserve"> </w:t>
      </w:r>
      <w:r>
        <w:rPr>
          <w:rFonts w:ascii="Verdana" w:hAnsi="Verdana"/>
          <w:sz w:val="24"/>
          <w:szCs w:val="24"/>
        </w:rPr>
        <w:t>EPSL. On the one hand</w:t>
      </w:r>
      <w:r w:rsidR="00E06A52">
        <w:rPr>
          <w:rFonts w:ascii="Verdana" w:hAnsi="Verdana"/>
          <w:sz w:val="24"/>
          <w:szCs w:val="24"/>
        </w:rPr>
        <w:t>, the applicants are arguing that their applications had different scenario in the form of amended agreement and on the other, they are seeking to contend that there was no such commercial arrangement. The applicants are thus blowing hot and cold at the same time.</w:t>
      </w:r>
    </w:p>
    <w:p w14:paraId="11333045" w14:textId="036390E7" w:rsidR="00E20790" w:rsidRPr="00DC7AC8" w:rsidRDefault="00181657" w:rsidP="002439DF">
      <w:pPr>
        <w:ind w:left="720" w:right="-188"/>
        <w:rPr>
          <w:rFonts w:ascii="Verdana" w:hAnsi="Verdana"/>
          <w:sz w:val="24"/>
          <w:szCs w:val="24"/>
        </w:rPr>
      </w:pPr>
      <w:r>
        <w:rPr>
          <w:rFonts w:ascii="Verdana" w:hAnsi="Verdana"/>
          <w:b/>
          <w:sz w:val="24"/>
          <w:szCs w:val="24"/>
        </w:rPr>
        <w:t>7</w:t>
      </w:r>
      <w:r w:rsidRPr="00181657">
        <w:rPr>
          <w:rFonts w:ascii="Verdana" w:hAnsi="Verdana"/>
          <w:sz w:val="24"/>
          <w:szCs w:val="24"/>
        </w:rPr>
        <w:t>.</w:t>
      </w:r>
      <w:r>
        <w:rPr>
          <w:rFonts w:ascii="Verdana" w:hAnsi="Verdana"/>
          <w:sz w:val="24"/>
          <w:szCs w:val="24"/>
        </w:rPr>
        <w:t xml:space="preserve"> Lastly, it is argued that “other proceedings” can not mean proceedings other than before the AAR and only meant proceedings other than the proceedings in relation to EPSL’s AAR application, that is, 982 of 2010. This argument suggests that the withdrawal order of dated 01/07/2011 was only in respect of application filed by EPSL and EPSL was thus barred but not the present two applicants who were at liberty to file fresh applications</w:t>
      </w:r>
      <w:r w:rsidR="002439DF">
        <w:rPr>
          <w:rFonts w:ascii="Verdana" w:hAnsi="Verdana"/>
          <w:sz w:val="24"/>
          <w:szCs w:val="24"/>
        </w:rPr>
        <w:t xml:space="preserve"> </w:t>
      </w:r>
      <w:r>
        <w:rPr>
          <w:rFonts w:ascii="Verdana" w:hAnsi="Verdana"/>
          <w:sz w:val="24"/>
          <w:szCs w:val="24"/>
        </w:rPr>
        <w:t>before Hon’ble Authority. At the same time, it is contended that presuming that CPC is applicable, the fact that the Hon’ble AAR granted permission to the intervenors ‘</w:t>
      </w:r>
      <w:r w:rsidRPr="00181657">
        <w:rPr>
          <w:rFonts w:ascii="Verdana" w:hAnsi="Verdana"/>
          <w:i/>
          <w:sz w:val="24"/>
          <w:szCs w:val="24"/>
        </w:rPr>
        <w:t>to put forward whatever contentions they have at appropriate stage in other proceedings’</w:t>
      </w:r>
      <w:r w:rsidR="00DC7AC8">
        <w:rPr>
          <w:rFonts w:ascii="Verdana" w:hAnsi="Verdana"/>
          <w:i/>
          <w:sz w:val="24"/>
          <w:szCs w:val="24"/>
        </w:rPr>
        <w:t xml:space="preserve"> is similar to the permission granted by a Court to institute a fresh suit under Order XXIII, Rule1, Sub-rule 3 of the CPC.</w:t>
      </w:r>
      <w:r w:rsidR="00DC7AC8">
        <w:rPr>
          <w:rFonts w:ascii="Verdana" w:hAnsi="Verdana"/>
          <w:sz w:val="24"/>
          <w:szCs w:val="24"/>
        </w:rPr>
        <w:t xml:space="preserve"> Again, when this contention is examined, it suggests that though EPSL was barred to come up again before Hon’ble Authority nevertheless the </w:t>
      </w:r>
      <w:r w:rsidR="00DC7AC8">
        <w:rPr>
          <w:rFonts w:ascii="Verdana" w:hAnsi="Verdana"/>
          <w:sz w:val="24"/>
          <w:szCs w:val="24"/>
        </w:rPr>
        <w:lastRenderedPageBreak/>
        <w:t>intervenors were given liberty to institute fresh application before Hon’ble Authority. If one reads the said direction in the context of this interpretation accorded by the two applicants, there would in fact be no bar even for EPSL to come up with fresh application</w:t>
      </w:r>
      <w:r w:rsidR="00D40417">
        <w:rPr>
          <w:rFonts w:ascii="Verdana" w:hAnsi="Verdana"/>
          <w:sz w:val="24"/>
          <w:szCs w:val="24"/>
        </w:rPr>
        <w:t xml:space="preserve"> under section 245Q (1) of the Act</w:t>
      </w:r>
      <w:r w:rsidR="00DC7AC8">
        <w:rPr>
          <w:rFonts w:ascii="Verdana" w:hAnsi="Verdana"/>
          <w:sz w:val="24"/>
          <w:szCs w:val="24"/>
        </w:rPr>
        <w:t xml:space="preserve"> before Hon’ble Authority. This is completely misconstrued interpretation and a lame argument. If the order for withdrawal grants liberty to the applicants it would equally be applicable to EPSL and if it bars EPSL, it equally bars the present two applicants</w:t>
      </w:r>
      <w:r w:rsidR="00F06EB8">
        <w:rPr>
          <w:rFonts w:ascii="Verdana" w:hAnsi="Verdana"/>
          <w:sz w:val="24"/>
          <w:szCs w:val="24"/>
        </w:rPr>
        <w:t>. There is no middle course open as suggested by the two present applicants.</w:t>
      </w:r>
    </w:p>
    <w:p w14:paraId="61E51F0D" w14:textId="34E0DA7B" w:rsidR="00B01A51" w:rsidRDefault="00B01A51" w:rsidP="00A24727">
      <w:pPr>
        <w:ind w:left="720" w:right="-188"/>
        <w:rPr>
          <w:rFonts w:ascii="Verdana" w:hAnsi="Verdana"/>
          <w:b/>
          <w:sz w:val="24"/>
          <w:szCs w:val="24"/>
        </w:rPr>
      </w:pPr>
      <w:r w:rsidRPr="00B01A51">
        <w:rPr>
          <w:rFonts w:ascii="Verdana" w:hAnsi="Verdana"/>
          <w:b/>
          <w:sz w:val="24"/>
          <w:szCs w:val="24"/>
        </w:rPr>
        <w:t>Applicants rebuttal on the case laws relied upon by Revenue in this regard:</w:t>
      </w:r>
    </w:p>
    <w:p w14:paraId="312A7C19" w14:textId="34C74663" w:rsidR="00B01A51" w:rsidRPr="00B01A51" w:rsidRDefault="00B01A51" w:rsidP="00A24727">
      <w:pPr>
        <w:ind w:left="720" w:right="-188"/>
        <w:rPr>
          <w:rFonts w:ascii="Verdana" w:hAnsi="Verdana"/>
          <w:sz w:val="24"/>
          <w:szCs w:val="24"/>
        </w:rPr>
      </w:pPr>
      <w:r w:rsidRPr="00B01A51">
        <w:rPr>
          <w:rFonts w:ascii="Verdana" w:hAnsi="Verdana"/>
          <w:sz w:val="24"/>
          <w:szCs w:val="24"/>
        </w:rPr>
        <w:t>The applicants in separate note</w:t>
      </w:r>
      <w:r>
        <w:rPr>
          <w:rFonts w:ascii="Verdana" w:hAnsi="Verdana"/>
          <w:sz w:val="24"/>
          <w:szCs w:val="24"/>
        </w:rPr>
        <w:t xml:space="preserve"> have sought to distinguish the case laws relied upon by the revenue</w:t>
      </w:r>
      <w:r w:rsidR="003A00F3">
        <w:rPr>
          <w:rFonts w:ascii="Verdana" w:hAnsi="Verdana"/>
          <w:sz w:val="24"/>
          <w:szCs w:val="24"/>
        </w:rPr>
        <w:t xml:space="preserve">. The distinguishing features as contended by the applicants are discussed in order to stress </w:t>
      </w:r>
      <w:r w:rsidRPr="00B01A51">
        <w:rPr>
          <w:rFonts w:ascii="Verdana" w:hAnsi="Verdana"/>
          <w:sz w:val="24"/>
          <w:szCs w:val="24"/>
        </w:rPr>
        <w:t xml:space="preserve"> </w:t>
      </w:r>
      <w:r w:rsidR="003A00F3">
        <w:rPr>
          <w:rFonts w:ascii="Verdana" w:hAnsi="Verdana"/>
          <w:sz w:val="24"/>
          <w:szCs w:val="24"/>
        </w:rPr>
        <w:t>and emphasise that the case laws support the submissions made by and on behalf of revenue: -</w:t>
      </w:r>
    </w:p>
    <w:p w14:paraId="4A1C7BC2" w14:textId="4E679BBF" w:rsidR="00B01A51" w:rsidRPr="00814DDD" w:rsidRDefault="009A2AF5" w:rsidP="009A2AF5">
      <w:pPr>
        <w:pStyle w:val="ListParagraph"/>
        <w:numPr>
          <w:ilvl w:val="0"/>
          <w:numId w:val="15"/>
        </w:numPr>
        <w:ind w:right="-188"/>
        <w:rPr>
          <w:rFonts w:ascii="Verdana" w:hAnsi="Verdana"/>
          <w:b/>
          <w:sz w:val="24"/>
          <w:szCs w:val="24"/>
        </w:rPr>
      </w:pPr>
      <w:r w:rsidRPr="00814DDD">
        <w:rPr>
          <w:rFonts w:ascii="Verdana" w:hAnsi="Verdana"/>
          <w:b/>
          <w:sz w:val="24"/>
          <w:szCs w:val="24"/>
        </w:rPr>
        <w:t>Sarguja Transport Services v State Transport (1987) 1 SCC 5-</w:t>
      </w:r>
    </w:p>
    <w:p w14:paraId="77CED88F" w14:textId="71AAA220" w:rsidR="009A2AF5" w:rsidRDefault="009A2AF5" w:rsidP="009A2AF5">
      <w:pPr>
        <w:ind w:left="720" w:right="-188"/>
        <w:rPr>
          <w:rFonts w:ascii="Verdana" w:hAnsi="Verdana"/>
          <w:sz w:val="24"/>
          <w:szCs w:val="24"/>
        </w:rPr>
      </w:pPr>
      <w:r>
        <w:rPr>
          <w:rFonts w:ascii="Verdana" w:hAnsi="Verdana"/>
          <w:sz w:val="24"/>
          <w:szCs w:val="24"/>
        </w:rPr>
        <w:t>It is contended that the judgment discusses Order XXIII i.e. withdrawal of petitions and that the provisions of the Order is not applicable to the applications filed by the applicants &amp; assuming the same are applicable even then in the order dated 01/07/2011, Hon’ble AAR held that the main application is dismissed as withdrawn without prejudice to the rights of the applicant, the Revenue and the intervenor to put forward whatever contentions they have at appropriate stage in other proceedings, in accordance with law.</w:t>
      </w:r>
      <w:r w:rsidR="009F7BC7">
        <w:rPr>
          <w:rFonts w:ascii="Verdana" w:hAnsi="Verdana"/>
          <w:sz w:val="24"/>
          <w:szCs w:val="24"/>
        </w:rPr>
        <w:t xml:space="preserve"> It is thus argued that withdrawal of a suit by a plaintiff does not bar a defendant from filing a fresh suit.</w:t>
      </w:r>
    </w:p>
    <w:p w14:paraId="3A1A8DA0" w14:textId="692180F2" w:rsidR="009F7BC7" w:rsidRDefault="009F7BC7" w:rsidP="009A2AF5">
      <w:pPr>
        <w:ind w:left="720" w:right="-188"/>
        <w:rPr>
          <w:rFonts w:ascii="Verdana" w:hAnsi="Verdana"/>
          <w:sz w:val="24"/>
          <w:szCs w:val="24"/>
        </w:rPr>
      </w:pPr>
      <w:r>
        <w:rPr>
          <w:rFonts w:ascii="Verdana" w:hAnsi="Verdana"/>
          <w:sz w:val="24"/>
          <w:szCs w:val="24"/>
        </w:rPr>
        <w:t xml:space="preserve">This argument requires to be rejected as if this is accepted then even the rights of the applicant in the main application have also been preserved who can also come in fresh application before Hon’ble Authority. If the present two applicants consider that their rights alone are saved with this liberty the going by the language of the order of withdrawal, even the main applicant can also come as </w:t>
      </w:r>
      <w:r w:rsidRPr="009F7BC7">
        <w:rPr>
          <w:rFonts w:ascii="Verdana" w:hAnsi="Verdana"/>
          <w:i/>
          <w:sz w:val="24"/>
          <w:szCs w:val="24"/>
        </w:rPr>
        <w:t>“other proceedings”</w:t>
      </w:r>
      <w:r>
        <w:rPr>
          <w:rFonts w:ascii="Verdana" w:hAnsi="Verdana"/>
          <w:sz w:val="24"/>
          <w:szCs w:val="24"/>
        </w:rPr>
        <w:t xml:space="preserve"> include proceedings before Hon’ble AAR as is being contended. Such an interpretation is against the spirit of the provisions and bar would be applicable to both the applicant as well the intervenors since the intervenors are integrally connected with the transaction which requires to be determined by Hon’ble AAR.</w:t>
      </w:r>
    </w:p>
    <w:p w14:paraId="48ADB2CD" w14:textId="0B8EE44F" w:rsidR="00814DDD" w:rsidRPr="00814DDD" w:rsidRDefault="00814DDD" w:rsidP="00814DDD">
      <w:pPr>
        <w:ind w:left="720" w:right="-188"/>
        <w:rPr>
          <w:rFonts w:ascii="Verdana" w:hAnsi="Verdana"/>
          <w:b/>
          <w:sz w:val="24"/>
          <w:szCs w:val="24"/>
        </w:rPr>
      </w:pPr>
      <w:r w:rsidRPr="00814DDD">
        <w:rPr>
          <w:rFonts w:ascii="Verdana" w:hAnsi="Verdana"/>
          <w:b/>
          <w:sz w:val="24"/>
          <w:szCs w:val="24"/>
        </w:rPr>
        <w:t>2.</w:t>
      </w:r>
      <w:r w:rsidR="00950E90" w:rsidRPr="00814DDD">
        <w:rPr>
          <w:rFonts w:ascii="Verdana" w:hAnsi="Verdana"/>
          <w:b/>
          <w:sz w:val="24"/>
          <w:szCs w:val="24"/>
        </w:rPr>
        <w:t>Jonala Sura Reddy v Tityyagura Srinivasa Reddy- 2003 SCC Online AP 63-</w:t>
      </w:r>
      <w:r w:rsidRPr="00814DDD">
        <w:rPr>
          <w:rFonts w:ascii="Verdana" w:hAnsi="Verdana"/>
          <w:b/>
          <w:sz w:val="24"/>
          <w:szCs w:val="24"/>
        </w:rPr>
        <w:t xml:space="preserve"> </w:t>
      </w:r>
    </w:p>
    <w:p w14:paraId="455CA7CB" w14:textId="614800E8" w:rsidR="00950E90" w:rsidRPr="00BB56C7" w:rsidRDefault="00814DDD" w:rsidP="00814DDD">
      <w:pPr>
        <w:ind w:left="720" w:right="-188"/>
        <w:rPr>
          <w:rFonts w:ascii="Verdana" w:hAnsi="Verdana"/>
          <w:b/>
          <w:sz w:val="24"/>
          <w:szCs w:val="24"/>
        </w:rPr>
      </w:pPr>
      <w:r w:rsidRPr="00814DDD">
        <w:rPr>
          <w:rFonts w:ascii="Verdana" w:hAnsi="Verdana"/>
          <w:sz w:val="24"/>
          <w:szCs w:val="24"/>
        </w:rPr>
        <w:t xml:space="preserve">This case relates to suppression of facts &amp; held that the fact suppressed should be material fact. The applicants herein argue that suppression of the fact relating to filing of intervention applications cannot be considered as a material fact as no prejudice is caused to either party on account of non-mentioning of the said fact &amp; further that the </w:t>
      </w:r>
      <w:r w:rsidRPr="00814DDD">
        <w:rPr>
          <w:rFonts w:ascii="Verdana" w:hAnsi="Verdana"/>
          <w:sz w:val="24"/>
          <w:szCs w:val="24"/>
        </w:rPr>
        <w:lastRenderedPageBreak/>
        <w:t>Department was not unaware of the proceedings filed by EPSL.</w:t>
      </w:r>
      <w:r>
        <w:rPr>
          <w:rFonts w:ascii="Verdana" w:hAnsi="Verdana"/>
          <w:sz w:val="24"/>
          <w:szCs w:val="24"/>
        </w:rPr>
        <w:t xml:space="preserve"> Hon’ble AAR did not pass any order on merits. This argument is again misplaced in as much as that suppression of facts is independent of what could be the consequence of such suppression and whether parties are affected or not. It is more on a moralistic ground and to ensure whether the party is coming before a judicial forum with clean hands. Even the fact whether in earlier proceeding decision on merit was given or not by the judicial forum, would not affect the act of suppression</w:t>
      </w:r>
      <w:r w:rsidR="00E36684">
        <w:rPr>
          <w:rFonts w:ascii="Verdana" w:hAnsi="Verdana"/>
          <w:sz w:val="24"/>
          <w:szCs w:val="24"/>
        </w:rPr>
        <w:t xml:space="preserve"> which requires to be decided on a standalone basis. The happening of future event of being detected of this suppression &amp; consequence thereof cannot determine whether the applicants did it with some ulterior motive at the point of time when act of such suppression was attempted.</w:t>
      </w:r>
    </w:p>
    <w:p w14:paraId="2257B041" w14:textId="60A548BE" w:rsidR="00BB56C7" w:rsidRPr="00521985" w:rsidRDefault="00BB56C7" w:rsidP="00814DDD">
      <w:pPr>
        <w:ind w:left="720" w:right="-188"/>
        <w:rPr>
          <w:rFonts w:ascii="Verdana" w:hAnsi="Verdana"/>
          <w:sz w:val="24"/>
          <w:szCs w:val="24"/>
        </w:rPr>
      </w:pPr>
      <w:r w:rsidRPr="00BB56C7">
        <w:rPr>
          <w:rFonts w:ascii="Verdana" w:hAnsi="Verdana"/>
          <w:b/>
          <w:sz w:val="24"/>
          <w:szCs w:val="24"/>
        </w:rPr>
        <w:t>3.Satish Khosla v Eli Lilly Ranbaxy Ltd 1998 (44) DRJ (DB) (Delhi)-</w:t>
      </w:r>
      <w:r w:rsidRPr="00BB56C7">
        <w:rPr>
          <w:rFonts w:ascii="Verdana" w:hAnsi="Verdana"/>
          <w:sz w:val="24"/>
          <w:szCs w:val="24"/>
        </w:rPr>
        <w:t xml:space="preserve"> In rebuttal</w:t>
      </w:r>
      <w:r>
        <w:rPr>
          <w:rFonts w:ascii="Verdana" w:hAnsi="Verdana"/>
          <w:sz w:val="24"/>
          <w:szCs w:val="24"/>
        </w:rPr>
        <w:t>, it is being argued by and on behalf of the applicants that there was no decision on merits in the case. Ratio of this decision is aptly summed up by Hon’ble Court at internal Page 119 and running page 40 of the compilation filed by the Department as under:</w:t>
      </w:r>
    </w:p>
    <w:p w14:paraId="3FE48CB2" w14:textId="292C8BBB" w:rsidR="00BB56C7" w:rsidRDefault="00BB56C7" w:rsidP="00814DDD">
      <w:pPr>
        <w:ind w:left="720" w:right="-188"/>
        <w:rPr>
          <w:rFonts w:ascii="Verdana" w:hAnsi="Verdana"/>
          <w:i/>
          <w:sz w:val="24"/>
          <w:szCs w:val="24"/>
        </w:rPr>
      </w:pPr>
      <w:r w:rsidRPr="00521985">
        <w:rPr>
          <w:rFonts w:ascii="Verdana" w:hAnsi="Verdana"/>
          <w:i/>
          <w:sz w:val="24"/>
          <w:szCs w:val="24"/>
        </w:rPr>
        <w:t>“</w:t>
      </w:r>
      <w:r w:rsidR="00521985" w:rsidRPr="00521985">
        <w:rPr>
          <w:rFonts w:ascii="Verdana" w:hAnsi="Verdana"/>
          <w:i/>
          <w:sz w:val="24"/>
          <w:szCs w:val="24"/>
        </w:rPr>
        <w:t>In our view, by withholding the plaint of the earlier suit from the Court and by not disclosing that in the earlier suit the respondent has not been able to get injunction, the respondent is guilty of playing fraud on the court as well as on the opposite party and such acts had been done only in order to gain advantage on the other side and to get a stay in the second suit.”</w:t>
      </w:r>
    </w:p>
    <w:p w14:paraId="787BA44E" w14:textId="00778DE2" w:rsidR="007037D2" w:rsidRDefault="00521985" w:rsidP="007037D2">
      <w:pPr>
        <w:ind w:left="720" w:right="-188"/>
        <w:rPr>
          <w:rFonts w:ascii="Verdana" w:hAnsi="Verdana"/>
          <w:sz w:val="24"/>
          <w:szCs w:val="24"/>
        </w:rPr>
      </w:pPr>
      <w:r>
        <w:rPr>
          <w:rFonts w:ascii="Verdana" w:hAnsi="Verdana"/>
          <w:sz w:val="24"/>
          <w:szCs w:val="24"/>
        </w:rPr>
        <w:t xml:space="preserve">Herein also neither the original applicant, EPSL nor the </w:t>
      </w:r>
      <w:r w:rsidR="00E7502A">
        <w:rPr>
          <w:rFonts w:ascii="Verdana" w:hAnsi="Verdana"/>
          <w:sz w:val="24"/>
          <w:szCs w:val="24"/>
        </w:rPr>
        <w:t xml:space="preserve">present </w:t>
      </w:r>
      <w:r>
        <w:rPr>
          <w:rFonts w:ascii="Verdana" w:hAnsi="Verdana"/>
          <w:sz w:val="24"/>
          <w:szCs w:val="24"/>
        </w:rPr>
        <w:t>applicants in</w:t>
      </w:r>
      <w:r w:rsidR="00E7502A">
        <w:rPr>
          <w:rFonts w:ascii="Verdana" w:hAnsi="Verdana"/>
          <w:sz w:val="24"/>
          <w:szCs w:val="24"/>
        </w:rPr>
        <w:t xml:space="preserve"> their</w:t>
      </w:r>
      <w:r>
        <w:rPr>
          <w:rFonts w:ascii="Verdana" w:hAnsi="Verdana"/>
          <w:sz w:val="24"/>
          <w:szCs w:val="24"/>
        </w:rPr>
        <w:t xml:space="preserve"> intervention applications got a decision on merits and Hon’ble Authority had granted liberty only in respect of </w:t>
      </w:r>
      <w:r w:rsidRPr="00521985">
        <w:rPr>
          <w:rFonts w:ascii="Verdana" w:hAnsi="Verdana"/>
          <w:i/>
          <w:sz w:val="24"/>
          <w:szCs w:val="24"/>
        </w:rPr>
        <w:t>“other proceedings”</w:t>
      </w:r>
      <w:r>
        <w:rPr>
          <w:rFonts w:ascii="Verdana" w:hAnsi="Verdana"/>
          <w:sz w:val="24"/>
          <w:szCs w:val="24"/>
        </w:rPr>
        <w:t xml:space="preserve"> to all the three parties involved, that is, the Revenue, the applicant, EPSL and the intervenors [present two applicants]</w:t>
      </w:r>
      <w:r w:rsidR="00E7502A">
        <w:rPr>
          <w:rFonts w:ascii="Verdana" w:hAnsi="Verdana"/>
          <w:sz w:val="24"/>
          <w:szCs w:val="24"/>
        </w:rPr>
        <w:t>. Yet,</w:t>
      </w:r>
      <w:r w:rsidR="007037D2">
        <w:rPr>
          <w:rFonts w:ascii="Verdana" w:hAnsi="Verdana"/>
          <w:sz w:val="24"/>
          <w:szCs w:val="24"/>
        </w:rPr>
        <w:t xml:space="preserve"> </w:t>
      </w:r>
      <w:r w:rsidR="00E7502A">
        <w:rPr>
          <w:rFonts w:ascii="Verdana" w:hAnsi="Verdana"/>
          <w:sz w:val="24"/>
          <w:szCs w:val="24"/>
        </w:rPr>
        <w:t xml:space="preserve">the applicants now in order to justify enhanced consideration furnish </w:t>
      </w:r>
      <w:r w:rsidR="007037D2">
        <w:rPr>
          <w:rFonts w:ascii="Verdana" w:hAnsi="Verdana"/>
          <w:sz w:val="24"/>
          <w:szCs w:val="24"/>
        </w:rPr>
        <w:t>amended agreement dated 01.07.2011 entered among the same parties who were parties till the last hearing conducted on 24</w:t>
      </w:r>
      <w:r w:rsidR="007037D2" w:rsidRPr="007037D2">
        <w:rPr>
          <w:rFonts w:ascii="Verdana" w:hAnsi="Verdana"/>
          <w:sz w:val="24"/>
          <w:szCs w:val="24"/>
          <w:vertAlign w:val="superscript"/>
        </w:rPr>
        <w:t>th</w:t>
      </w:r>
      <w:r w:rsidR="007037D2">
        <w:rPr>
          <w:rFonts w:ascii="Verdana" w:hAnsi="Verdana"/>
          <w:sz w:val="24"/>
          <w:szCs w:val="24"/>
        </w:rPr>
        <w:t>, 26</w:t>
      </w:r>
      <w:r w:rsidR="007037D2" w:rsidRPr="007037D2">
        <w:rPr>
          <w:rFonts w:ascii="Verdana" w:hAnsi="Verdana"/>
          <w:sz w:val="24"/>
          <w:szCs w:val="24"/>
          <w:vertAlign w:val="superscript"/>
        </w:rPr>
        <w:t>th</w:t>
      </w:r>
      <w:r w:rsidR="007037D2">
        <w:rPr>
          <w:rFonts w:ascii="Verdana" w:hAnsi="Verdana"/>
          <w:sz w:val="24"/>
          <w:szCs w:val="24"/>
        </w:rPr>
        <w:t xml:space="preserve"> and 27</w:t>
      </w:r>
      <w:r w:rsidR="007037D2" w:rsidRPr="007037D2">
        <w:rPr>
          <w:rFonts w:ascii="Verdana" w:hAnsi="Verdana"/>
          <w:sz w:val="24"/>
          <w:szCs w:val="24"/>
          <w:vertAlign w:val="superscript"/>
        </w:rPr>
        <w:t>th</w:t>
      </w:r>
      <w:r w:rsidR="007037D2">
        <w:rPr>
          <w:rFonts w:ascii="Verdana" w:hAnsi="Verdana"/>
          <w:sz w:val="24"/>
          <w:szCs w:val="24"/>
        </w:rPr>
        <w:t xml:space="preserve"> May 2011 but maintain a stoic silence in their respective applications filed under section 245Q (1) of the Act. Are we to examine this suppression simply on the legalistic grounds or one has to approach this act on the part of the applicants on other than legalistic grounds to stop such practices in future where parties would desist from repeating such acts of commission and omission. This fact should be viewed in the context of a very very exceptional observation of the Hon’ble </w:t>
      </w:r>
      <w:r w:rsidR="00CF2475">
        <w:rPr>
          <w:rFonts w:ascii="Verdana" w:hAnsi="Verdana"/>
          <w:sz w:val="24"/>
          <w:szCs w:val="24"/>
        </w:rPr>
        <w:t xml:space="preserve">Authority </w:t>
      </w:r>
      <w:r w:rsidR="007037D2">
        <w:rPr>
          <w:rFonts w:ascii="Verdana" w:hAnsi="Verdana"/>
          <w:sz w:val="24"/>
          <w:szCs w:val="24"/>
        </w:rPr>
        <w:t>in the order dated</w:t>
      </w:r>
      <w:r w:rsidR="00967070">
        <w:rPr>
          <w:rFonts w:ascii="Verdana" w:hAnsi="Verdana"/>
          <w:sz w:val="24"/>
          <w:szCs w:val="24"/>
        </w:rPr>
        <w:t xml:space="preserve"> </w:t>
      </w:r>
      <w:r w:rsidR="00CF2475">
        <w:rPr>
          <w:rFonts w:ascii="Verdana" w:hAnsi="Verdana"/>
          <w:sz w:val="24"/>
          <w:szCs w:val="24"/>
        </w:rPr>
        <w:t>20/07/2011 admitting the applications</w:t>
      </w:r>
      <w:r w:rsidR="007037D2">
        <w:rPr>
          <w:rFonts w:ascii="Verdana" w:hAnsi="Verdana"/>
          <w:sz w:val="24"/>
          <w:szCs w:val="24"/>
        </w:rPr>
        <w:t>, which is reproduced as under:</w:t>
      </w:r>
    </w:p>
    <w:p w14:paraId="39C54FF0" w14:textId="5427DFD6" w:rsidR="00CF2475" w:rsidRPr="00B51D7E" w:rsidRDefault="00CF2475" w:rsidP="007037D2">
      <w:pPr>
        <w:ind w:left="720" w:right="-188"/>
        <w:rPr>
          <w:rFonts w:ascii="Verdana" w:hAnsi="Verdana"/>
          <w:i/>
          <w:sz w:val="24"/>
          <w:szCs w:val="24"/>
          <w:u w:val="single"/>
        </w:rPr>
      </w:pPr>
      <w:r w:rsidRPr="00B51D7E">
        <w:rPr>
          <w:rFonts w:ascii="Verdana" w:hAnsi="Verdana"/>
          <w:i/>
          <w:sz w:val="24"/>
          <w:szCs w:val="24"/>
          <w:u w:val="single"/>
        </w:rPr>
        <w:t>“4.</w:t>
      </w:r>
      <w:r w:rsidR="00E143AB" w:rsidRPr="00B51D7E">
        <w:rPr>
          <w:rFonts w:ascii="Verdana" w:hAnsi="Verdana"/>
          <w:i/>
          <w:sz w:val="24"/>
          <w:szCs w:val="24"/>
          <w:u w:val="single"/>
        </w:rPr>
        <w:t xml:space="preserve"> </w:t>
      </w:r>
      <w:r w:rsidRPr="00B51D7E">
        <w:rPr>
          <w:rFonts w:ascii="Verdana" w:hAnsi="Verdana"/>
          <w:i/>
          <w:sz w:val="24"/>
          <w:szCs w:val="24"/>
          <w:u w:val="single"/>
        </w:rPr>
        <w:t xml:space="preserve">Very strangely, the present two companies i.e. Essar Com Ltd and Essar Communications Ltd filed applications in those proceedings for </w:t>
      </w:r>
      <w:r w:rsidRPr="00B51D7E">
        <w:rPr>
          <w:rFonts w:ascii="Verdana" w:hAnsi="Verdana"/>
          <w:i/>
          <w:sz w:val="24"/>
          <w:szCs w:val="24"/>
          <w:u w:val="single"/>
        </w:rPr>
        <w:lastRenderedPageBreak/>
        <w:t>intervention</w:t>
      </w:r>
      <w:r w:rsidR="00E143AB" w:rsidRPr="00B51D7E">
        <w:rPr>
          <w:rFonts w:ascii="Verdana" w:hAnsi="Verdana"/>
          <w:i/>
          <w:sz w:val="24"/>
          <w:szCs w:val="24"/>
          <w:u w:val="single"/>
        </w:rPr>
        <w:t>. This intervention application dated 17.5.2011 was allowed by this Authority on 24.5.2011.</w:t>
      </w:r>
    </w:p>
    <w:p w14:paraId="69F12B65" w14:textId="7BC612D7" w:rsidR="00E143AB" w:rsidRPr="00B51D7E" w:rsidRDefault="00E143AB" w:rsidP="00E143AB">
      <w:pPr>
        <w:ind w:left="720" w:right="-188"/>
        <w:rPr>
          <w:rFonts w:ascii="Verdana" w:hAnsi="Verdana"/>
          <w:i/>
          <w:sz w:val="24"/>
          <w:szCs w:val="24"/>
          <w:u w:val="single"/>
        </w:rPr>
      </w:pPr>
      <w:r w:rsidRPr="00B51D7E">
        <w:rPr>
          <w:rFonts w:ascii="Verdana" w:hAnsi="Verdana"/>
          <w:i/>
          <w:sz w:val="24"/>
          <w:szCs w:val="24"/>
          <w:u w:val="single"/>
        </w:rPr>
        <w:t>5.These intervention applications were not opposed by the Revenue. The tenor of the intervention application suggests that applicants have claimed that they would be vitally interested in the isuues raised by EPSL in the application dated 24.8.2010 and they would have an interest in the issues involved in the application.</w:t>
      </w:r>
    </w:p>
    <w:p w14:paraId="78CDC84D" w14:textId="3EBC55C8" w:rsidR="00E143AB" w:rsidRPr="00B51D7E" w:rsidRDefault="00E143AB" w:rsidP="00E143AB">
      <w:pPr>
        <w:ind w:left="720" w:right="-188"/>
        <w:rPr>
          <w:rFonts w:ascii="Verdana" w:hAnsi="Verdana"/>
          <w:i/>
          <w:sz w:val="24"/>
          <w:szCs w:val="24"/>
          <w:u w:val="single"/>
        </w:rPr>
      </w:pPr>
      <w:r w:rsidRPr="00B51D7E">
        <w:rPr>
          <w:rFonts w:ascii="Verdana" w:hAnsi="Verdana"/>
          <w:i/>
          <w:sz w:val="24"/>
          <w:szCs w:val="24"/>
          <w:u w:val="single"/>
        </w:rPr>
        <w:t>6. Eventually, the said AAR application by EPSL whch was registered as AAR/982/2010 was sought to be withdrawn by the applicant therein. This was permitted by this Authority by an order dated 1.7.2011.</w:t>
      </w:r>
    </w:p>
    <w:p w14:paraId="5A33A050" w14:textId="39D43A82" w:rsidR="00E143AB" w:rsidRDefault="00B51D7E" w:rsidP="00E143AB">
      <w:pPr>
        <w:ind w:left="720" w:right="-188"/>
        <w:rPr>
          <w:rFonts w:ascii="Verdana" w:hAnsi="Verdana"/>
          <w:sz w:val="24"/>
          <w:szCs w:val="24"/>
        </w:rPr>
      </w:pPr>
      <w:r w:rsidRPr="00B51D7E">
        <w:rPr>
          <w:rFonts w:ascii="Verdana" w:hAnsi="Verdana"/>
          <w:i/>
          <w:sz w:val="24"/>
          <w:szCs w:val="24"/>
          <w:u w:val="single"/>
        </w:rPr>
        <w:t>7. Thereafter, the present applicants waited till 26</w:t>
      </w:r>
      <w:r w:rsidRPr="00B51D7E">
        <w:rPr>
          <w:rFonts w:ascii="Verdana" w:hAnsi="Verdana"/>
          <w:i/>
          <w:sz w:val="24"/>
          <w:szCs w:val="24"/>
          <w:u w:val="single"/>
          <w:vertAlign w:val="superscript"/>
        </w:rPr>
        <w:t>th</w:t>
      </w:r>
      <w:r w:rsidRPr="00B51D7E">
        <w:rPr>
          <w:rFonts w:ascii="Verdana" w:hAnsi="Verdana"/>
          <w:i/>
          <w:sz w:val="24"/>
          <w:szCs w:val="24"/>
          <w:u w:val="single"/>
        </w:rPr>
        <w:t xml:space="preserve"> September, 2012 and came out with the present applications. It is also an admitted fact that they filed their income-tax returns on 29</w:t>
      </w:r>
      <w:r w:rsidRPr="00B51D7E">
        <w:rPr>
          <w:rFonts w:ascii="Verdana" w:hAnsi="Verdana"/>
          <w:i/>
          <w:sz w:val="24"/>
          <w:szCs w:val="24"/>
          <w:u w:val="single"/>
          <w:vertAlign w:val="superscript"/>
        </w:rPr>
        <w:t>th</w:t>
      </w:r>
      <w:r w:rsidRPr="00B51D7E">
        <w:rPr>
          <w:rFonts w:ascii="Verdana" w:hAnsi="Verdana"/>
          <w:i/>
          <w:sz w:val="24"/>
          <w:szCs w:val="24"/>
          <w:u w:val="single"/>
        </w:rPr>
        <w:t xml:space="preserve"> September, 2012.”</w:t>
      </w:r>
      <w:r>
        <w:rPr>
          <w:rFonts w:ascii="Verdana" w:hAnsi="Verdana"/>
          <w:sz w:val="24"/>
          <w:szCs w:val="24"/>
        </w:rPr>
        <w:t xml:space="preserve"> [Emphasis supplied]</w:t>
      </w:r>
    </w:p>
    <w:p w14:paraId="1DD56798" w14:textId="75FCE6FA" w:rsidR="00B51D7E" w:rsidRPr="00367D2A" w:rsidRDefault="00B51D7E" w:rsidP="00E143AB">
      <w:pPr>
        <w:ind w:left="720" w:right="-188"/>
        <w:rPr>
          <w:rFonts w:ascii="Verdana" w:hAnsi="Verdana"/>
          <w:b/>
          <w:sz w:val="24"/>
          <w:szCs w:val="24"/>
        </w:rPr>
      </w:pPr>
      <w:r>
        <w:rPr>
          <w:rFonts w:ascii="Verdana" w:hAnsi="Verdana"/>
          <w:sz w:val="24"/>
          <w:szCs w:val="24"/>
        </w:rPr>
        <w:t>The conduct of the party can be seen in the context of above observations and therefore the ratio of the judgment in the case of Satish Khosla equally applies to the facts and circumstances of the present applicants.</w:t>
      </w:r>
    </w:p>
    <w:p w14:paraId="0235F9F0" w14:textId="5070D56C" w:rsidR="00367D2A" w:rsidRDefault="00367D2A" w:rsidP="00E143AB">
      <w:pPr>
        <w:ind w:left="720" w:right="-188"/>
        <w:rPr>
          <w:rFonts w:ascii="Verdana" w:hAnsi="Verdana"/>
          <w:b/>
          <w:sz w:val="24"/>
          <w:szCs w:val="24"/>
        </w:rPr>
      </w:pPr>
      <w:r w:rsidRPr="00367D2A">
        <w:rPr>
          <w:rFonts w:ascii="Verdana" w:hAnsi="Verdana"/>
          <w:b/>
          <w:sz w:val="24"/>
          <w:szCs w:val="24"/>
        </w:rPr>
        <w:t>4. Haldhar Prasad v Giridih Municipality AIT 1989 Pat 321-</w:t>
      </w:r>
    </w:p>
    <w:p w14:paraId="13B864D5" w14:textId="7B060AB5" w:rsidR="00043137" w:rsidRDefault="00043137" w:rsidP="00E143AB">
      <w:pPr>
        <w:ind w:left="720" w:right="-188"/>
        <w:rPr>
          <w:rFonts w:ascii="Verdana" w:hAnsi="Verdana"/>
          <w:sz w:val="24"/>
          <w:szCs w:val="24"/>
        </w:rPr>
      </w:pPr>
      <w:r>
        <w:rPr>
          <w:rFonts w:ascii="Verdana" w:hAnsi="Verdana"/>
          <w:sz w:val="24"/>
          <w:szCs w:val="24"/>
        </w:rPr>
        <w:t>It is contended in rebuttal with regard to this case that the facts are similar to Sarguja Transport case. No further comments thus are required and response of the Revenue may also be read with reference to response given in the case of Sarguja at serial number 1 above.</w:t>
      </w:r>
    </w:p>
    <w:p w14:paraId="31D5C76D" w14:textId="04541181" w:rsidR="00043137" w:rsidRPr="00003FC1" w:rsidRDefault="00043137" w:rsidP="00043137">
      <w:pPr>
        <w:ind w:left="720" w:right="-188"/>
        <w:rPr>
          <w:rFonts w:ascii="Verdana" w:hAnsi="Verdana"/>
          <w:sz w:val="24"/>
          <w:szCs w:val="24"/>
        </w:rPr>
      </w:pPr>
      <w:r w:rsidRPr="00043137">
        <w:rPr>
          <w:rFonts w:ascii="Verdana" w:hAnsi="Verdana"/>
          <w:b/>
          <w:sz w:val="24"/>
          <w:szCs w:val="24"/>
        </w:rPr>
        <w:t>5.SMAMS Meyyappa Ch</w:t>
      </w:r>
      <w:r>
        <w:rPr>
          <w:rFonts w:ascii="Verdana" w:hAnsi="Verdana"/>
          <w:b/>
          <w:sz w:val="24"/>
          <w:szCs w:val="24"/>
        </w:rPr>
        <w:t>e</w:t>
      </w:r>
      <w:r w:rsidRPr="00043137">
        <w:rPr>
          <w:rFonts w:ascii="Verdana" w:hAnsi="Verdana"/>
          <w:b/>
          <w:sz w:val="24"/>
          <w:szCs w:val="24"/>
        </w:rPr>
        <w:t>ttiar v Seethachi Achi 1936 SCC Online 366 (Mad.)-</w:t>
      </w:r>
    </w:p>
    <w:p w14:paraId="717C05D4" w14:textId="77777777" w:rsidR="00F608A7" w:rsidRPr="00594794" w:rsidRDefault="00003FC1" w:rsidP="00043137">
      <w:pPr>
        <w:ind w:left="720" w:right="-188"/>
        <w:rPr>
          <w:rFonts w:ascii="Verdana" w:hAnsi="Verdana"/>
          <w:b/>
          <w:sz w:val="24"/>
          <w:szCs w:val="24"/>
        </w:rPr>
      </w:pPr>
      <w:r w:rsidRPr="00003FC1">
        <w:rPr>
          <w:rFonts w:ascii="Verdana" w:hAnsi="Verdana"/>
          <w:sz w:val="24"/>
          <w:szCs w:val="24"/>
        </w:rPr>
        <w:t xml:space="preserve">It is </w:t>
      </w:r>
      <w:r>
        <w:rPr>
          <w:rFonts w:ascii="Verdana" w:hAnsi="Verdana"/>
          <w:sz w:val="24"/>
          <w:szCs w:val="24"/>
        </w:rPr>
        <w:t xml:space="preserve">being argued that in this case a third party wanted to get included as defendant and not as intervenor. This argument is fallacious in the sense that in the cited case in Para (5) which can be noticed at running page (42) of the compilation filed by Revenue it is observed that a preliminary objection was raised before learned single judge that as the earlier writ petition was withdrawn without leave to file a fresh petition on the same cause of action, the present writ petition was not maintainable. </w:t>
      </w:r>
      <w:r w:rsidR="00B34C3F">
        <w:rPr>
          <w:rFonts w:ascii="Verdana" w:hAnsi="Verdana"/>
          <w:sz w:val="24"/>
          <w:szCs w:val="24"/>
        </w:rPr>
        <w:t>The case deals with situation where in an earlier petition while withdrawn, permission to file fresh suit is not given for the same cause of action and thus subsequent suit stands barred. This assertion is being made by the Revenue that the present applicants are barred from filing these applications as they were party to earlier application filed by EPSL.</w:t>
      </w:r>
    </w:p>
    <w:p w14:paraId="6FE003DA" w14:textId="77777777" w:rsidR="00AB22BF" w:rsidRDefault="00594794" w:rsidP="00594794">
      <w:pPr>
        <w:ind w:left="720" w:right="-188"/>
        <w:rPr>
          <w:rFonts w:ascii="Verdana" w:hAnsi="Verdana"/>
          <w:sz w:val="24"/>
          <w:szCs w:val="24"/>
        </w:rPr>
      </w:pPr>
      <w:r w:rsidRPr="00594794">
        <w:rPr>
          <w:rFonts w:ascii="Verdana" w:hAnsi="Verdana"/>
          <w:b/>
          <w:sz w:val="24"/>
          <w:szCs w:val="24"/>
        </w:rPr>
        <w:t xml:space="preserve">6.Vaniappa Goudan v NPVLR Annamalai Chettiar </w:t>
      </w:r>
      <w:r>
        <w:rPr>
          <w:rFonts w:ascii="Verdana" w:hAnsi="Verdana"/>
          <w:b/>
          <w:sz w:val="24"/>
          <w:szCs w:val="24"/>
        </w:rPr>
        <w:t xml:space="preserve">-Equivalent citation </w:t>
      </w:r>
      <w:r w:rsidRPr="00594794">
        <w:rPr>
          <w:rFonts w:ascii="Verdana" w:hAnsi="Verdana"/>
          <w:b/>
          <w:sz w:val="24"/>
          <w:szCs w:val="24"/>
        </w:rPr>
        <w:t>AIR 1940 Mad. 69</w:t>
      </w:r>
      <w:r>
        <w:rPr>
          <w:rFonts w:ascii="Verdana" w:hAnsi="Verdana"/>
          <w:b/>
          <w:sz w:val="24"/>
          <w:szCs w:val="24"/>
        </w:rPr>
        <w:t xml:space="preserve">/ Civil Revision Petition No 371 </w:t>
      </w:r>
      <w:r w:rsidR="00AB22BF">
        <w:rPr>
          <w:rFonts w:ascii="Verdana" w:hAnsi="Verdana"/>
          <w:b/>
          <w:sz w:val="24"/>
          <w:szCs w:val="24"/>
        </w:rPr>
        <w:t>of 1939-50 Law Weekly 494 (Mad.)</w:t>
      </w:r>
      <w:r>
        <w:rPr>
          <w:rFonts w:ascii="Verdana" w:hAnsi="Verdana"/>
          <w:b/>
          <w:sz w:val="24"/>
          <w:szCs w:val="24"/>
        </w:rPr>
        <w:t xml:space="preserve"> </w:t>
      </w:r>
      <w:r w:rsidRPr="00594794">
        <w:rPr>
          <w:rFonts w:ascii="Verdana" w:hAnsi="Verdana"/>
          <w:b/>
          <w:sz w:val="24"/>
          <w:szCs w:val="24"/>
        </w:rPr>
        <w:t>-</w:t>
      </w:r>
      <w:r w:rsidR="00B34C3F" w:rsidRPr="00594794">
        <w:rPr>
          <w:rFonts w:ascii="Verdana" w:hAnsi="Verdana"/>
          <w:sz w:val="24"/>
          <w:szCs w:val="24"/>
        </w:rPr>
        <w:t xml:space="preserve"> </w:t>
      </w:r>
      <w:r>
        <w:rPr>
          <w:rFonts w:ascii="Verdana" w:hAnsi="Verdana"/>
          <w:sz w:val="24"/>
          <w:szCs w:val="24"/>
        </w:rPr>
        <w:t xml:space="preserve">With regard to this case, it is being urged for and on behalf of the applicants that the facts are similar to SMAMS Meyyappa’s case. This contention is not correct as in </w:t>
      </w:r>
      <w:r>
        <w:rPr>
          <w:rFonts w:ascii="Verdana" w:hAnsi="Verdana"/>
          <w:sz w:val="24"/>
          <w:szCs w:val="24"/>
        </w:rPr>
        <w:lastRenderedPageBreak/>
        <w:t>this case, Hon’ble Court interpreted the applicability of joinder of parties in the context of Order1, Rule 10 (2) of CPC to hold that the object of the provision in Order1, Rule 10 (2) is that where several disputes arise out of one subject matter, all the parties interested in such disputes should be brought before the Court an</w:t>
      </w:r>
      <w:r w:rsidR="00AB22BF">
        <w:rPr>
          <w:rFonts w:ascii="Verdana" w:hAnsi="Verdana"/>
          <w:sz w:val="24"/>
          <w:szCs w:val="24"/>
        </w:rPr>
        <w:t>d</w:t>
      </w:r>
      <w:r>
        <w:rPr>
          <w:rFonts w:ascii="Verdana" w:hAnsi="Verdana"/>
          <w:sz w:val="24"/>
          <w:szCs w:val="24"/>
        </w:rPr>
        <w:t xml:space="preserve"> all questions in controversy between them should be completely settled in the action. This position is explained by Hon’ble Court at internal Page 496 of the</w:t>
      </w:r>
      <w:r w:rsidR="00AB22BF">
        <w:rPr>
          <w:rFonts w:ascii="Verdana" w:hAnsi="Verdana"/>
          <w:sz w:val="24"/>
          <w:szCs w:val="24"/>
        </w:rPr>
        <w:t xml:space="preserve"> Report</w:t>
      </w:r>
      <w:r>
        <w:rPr>
          <w:rFonts w:ascii="Verdana" w:hAnsi="Verdana"/>
          <w:sz w:val="24"/>
          <w:szCs w:val="24"/>
        </w:rPr>
        <w:t xml:space="preserve"> </w:t>
      </w:r>
      <w:r w:rsidR="00AB22BF">
        <w:rPr>
          <w:rFonts w:ascii="Verdana" w:hAnsi="Verdana"/>
          <w:sz w:val="24"/>
          <w:szCs w:val="24"/>
        </w:rPr>
        <w:t>with running page 57 of the compilation of Revenue. The decision equally applies to the case of the applicants in the context of Rule (5) and Rule (28) of the Authority Procedure Rules, 1996, which are special provisions applicable to applicants before Hon’ble Authority., whether as applicants or intervenors once the Hon’ble Authority permits them to join the application of the original applicant.</w:t>
      </w:r>
    </w:p>
    <w:p w14:paraId="5BB2528F" w14:textId="77777777" w:rsidR="00AB22BF" w:rsidRDefault="00AB22BF" w:rsidP="00594794">
      <w:pPr>
        <w:ind w:left="720" w:right="-188"/>
        <w:rPr>
          <w:rFonts w:ascii="Verdana" w:hAnsi="Verdana"/>
          <w:b/>
          <w:sz w:val="24"/>
          <w:szCs w:val="24"/>
        </w:rPr>
      </w:pPr>
      <w:r>
        <w:rPr>
          <w:rFonts w:ascii="Verdana" w:hAnsi="Verdana"/>
          <w:b/>
          <w:sz w:val="24"/>
          <w:szCs w:val="24"/>
        </w:rPr>
        <w:t>7.Amon v Raphael Tuck &amp; Sons- [1958] 1 QB 357-</w:t>
      </w:r>
    </w:p>
    <w:p w14:paraId="61494314" w14:textId="77777777" w:rsidR="003646C6" w:rsidRDefault="00AB22BF" w:rsidP="00594794">
      <w:pPr>
        <w:ind w:left="720" w:right="-188"/>
        <w:rPr>
          <w:rFonts w:ascii="Verdana" w:hAnsi="Verdana"/>
          <w:sz w:val="24"/>
          <w:szCs w:val="24"/>
        </w:rPr>
      </w:pPr>
      <w:r>
        <w:rPr>
          <w:rFonts w:ascii="Verdana" w:hAnsi="Verdana"/>
          <w:sz w:val="24"/>
          <w:szCs w:val="24"/>
        </w:rPr>
        <w:t>It is once again contended that facts are similar to that of SMAMS Meyyappa’s Case with no further comments.</w:t>
      </w:r>
      <w:r w:rsidR="003646C6">
        <w:rPr>
          <w:rFonts w:ascii="Verdana" w:hAnsi="Verdana"/>
          <w:sz w:val="24"/>
          <w:szCs w:val="24"/>
        </w:rPr>
        <w:t xml:space="preserve"> It is submitted that the crux of the decision lies in Para 17 of the judgment wherein Hon’ble Court lays down the principle in following words:</w:t>
      </w:r>
    </w:p>
    <w:p w14:paraId="26A48F82" w14:textId="45979BAE" w:rsidR="00594794" w:rsidRPr="002E083A" w:rsidRDefault="003646C6" w:rsidP="00594794">
      <w:pPr>
        <w:ind w:left="720" w:right="-188"/>
        <w:rPr>
          <w:rFonts w:ascii="Verdana" w:hAnsi="Verdana"/>
          <w:i/>
          <w:sz w:val="24"/>
          <w:szCs w:val="24"/>
          <w:u w:val="single"/>
        </w:rPr>
      </w:pPr>
      <w:r w:rsidRPr="002E083A">
        <w:rPr>
          <w:rFonts w:ascii="Verdana" w:hAnsi="Verdana"/>
          <w:i/>
          <w:sz w:val="24"/>
          <w:szCs w:val="24"/>
          <w:u w:val="single"/>
        </w:rPr>
        <w:t>“17. The underlying principle regardin</w:t>
      </w:r>
      <w:r w:rsidR="002E083A" w:rsidRPr="002E083A">
        <w:rPr>
          <w:rFonts w:ascii="Verdana" w:hAnsi="Verdana"/>
          <w:i/>
          <w:sz w:val="24"/>
          <w:szCs w:val="24"/>
          <w:u w:val="single"/>
        </w:rPr>
        <w:t>g</w:t>
      </w:r>
      <w:r w:rsidRPr="002E083A">
        <w:rPr>
          <w:rFonts w:ascii="Verdana" w:hAnsi="Verdana"/>
          <w:i/>
          <w:sz w:val="24"/>
          <w:szCs w:val="24"/>
          <w:u w:val="single"/>
        </w:rPr>
        <w:t xml:space="preserve"> the addition of parties is that there must be finality to litigation, and to secure that purpose it would be incumbent upon the Court to add a party whose presence would be necessary</w:t>
      </w:r>
      <w:r w:rsidR="002E083A" w:rsidRPr="002E083A">
        <w:rPr>
          <w:rFonts w:ascii="Verdana" w:hAnsi="Verdana"/>
          <w:i/>
          <w:sz w:val="24"/>
          <w:szCs w:val="24"/>
          <w:u w:val="single"/>
        </w:rPr>
        <w:t xml:space="preserve"> to put an end to all the controversy in the litigation finally. This is the view taken by a Division Bench of this Court in 57 Mad 892 in this very case where Sundaram Chettiar Judge. Relying on 5 Mad 52 observed:</w:t>
      </w:r>
    </w:p>
    <w:p w14:paraId="643C4138" w14:textId="2BBD0391" w:rsidR="002E083A" w:rsidRDefault="002E083A" w:rsidP="00594794">
      <w:pPr>
        <w:ind w:left="720" w:right="-188"/>
        <w:rPr>
          <w:rFonts w:ascii="Verdana" w:hAnsi="Verdana"/>
          <w:sz w:val="24"/>
          <w:szCs w:val="24"/>
        </w:rPr>
      </w:pPr>
      <w:r w:rsidRPr="002E083A">
        <w:rPr>
          <w:rFonts w:ascii="Verdana" w:hAnsi="Verdana"/>
          <w:i/>
          <w:sz w:val="24"/>
          <w:szCs w:val="24"/>
          <w:u w:val="single"/>
        </w:rPr>
        <w:t>If there is a question common to the parties on record and a stranger , as regards the subject matter of the suit or any portion thereof, it should be tried once for all by allowing the stranger to be made a party.”</w:t>
      </w:r>
      <w:r>
        <w:rPr>
          <w:rFonts w:ascii="Verdana" w:hAnsi="Verdana"/>
          <w:sz w:val="24"/>
          <w:szCs w:val="24"/>
        </w:rPr>
        <w:t xml:space="preserve"> [Emphasis supplied]</w:t>
      </w:r>
    </w:p>
    <w:p w14:paraId="1852E604" w14:textId="77777777" w:rsidR="00226CD4" w:rsidRDefault="008B0700" w:rsidP="00594794">
      <w:pPr>
        <w:ind w:left="720" w:right="-188"/>
        <w:rPr>
          <w:rFonts w:ascii="Verdana" w:hAnsi="Verdana"/>
          <w:sz w:val="24"/>
          <w:szCs w:val="24"/>
        </w:rPr>
      </w:pPr>
      <w:r>
        <w:rPr>
          <w:rFonts w:ascii="Verdana" w:hAnsi="Verdana"/>
          <w:sz w:val="24"/>
          <w:szCs w:val="24"/>
        </w:rPr>
        <w:t>This principle equally applied to the case of the applicants once they joined in the application of EPSL and at the time of withdrawal also they were heard wherein the application of EPSL was dismissed as withdrawn. In fact, the intervenors then and applicants now, could have persisted with their contentions before Hon’ble Authority even if the application aws withdrawn because the transaction with reference to sale and purchase of the shares of Vodafone India Ltd and its effect was</w:t>
      </w:r>
      <w:r w:rsidR="00663935">
        <w:rPr>
          <w:rFonts w:ascii="Verdana" w:hAnsi="Verdana"/>
          <w:sz w:val="24"/>
          <w:szCs w:val="24"/>
        </w:rPr>
        <w:t xml:space="preserve"> under consideration in both the cases, that is, that of EPSL and the intervenors.</w:t>
      </w:r>
    </w:p>
    <w:p w14:paraId="0D3EAA2B" w14:textId="59CE5FD5" w:rsidR="008B0700" w:rsidRPr="00226CD4" w:rsidRDefault="00226CD4" w:rsidP="00594794">
      <w:pPr>
        <w:ind w:left="720" w:right="-188"/>
        <w:rPr>
          <w:rFonts w:ascii="Verdana" w:hAnsi="Verdana"/>
          <w:sz w:val="24"/>
          <w:szCs w:val="24"/>
        </w:rPr>
      </w:pPr>
      <w:r w:rsidRPr="00226CD4">
        <w:rPr>
          <w:rFonts w:ascii="Verdana" w:hAnsi="Verdana"/>
          <w:b/>
          <w:sz w:val="24"/>
          <w:szCs w:val="24"/>
        </w:rPr>
        <w:t>8.Ramesh Hirachand Kundanmal v Municipal Corporation of Greater Bombay &amp; Ors- (1992) 2 SCC 524 (SC)-</w:t>
      </w:r>
      <w:r w:rsidR="00663935" w:rsidRPr="00226CD4">
        <w:rPr>
          <w:rFonts w:ascii="Verdana" w:hAnsi="Verdana"/>
          <w:sz w:val="24"/>
          <w:szCs w:val="24"/>
        </w:rPr>
        <w:t xml:space="preserve"> </w:t>
      </w:r>
    </w:p>
    <w:p w14:paraId="5D3F4418" w14:textId="39C323B8" w:rsidR="00226CD4" w:rsidRPr="00226CD4" w:rsidRDefault="00226CD4" w:rsidP="00594794">
      <w:pPr>
        <w:ind w:left="720" w:right="-188"/>
        <w:rPr>
          <w:rFonts w:ascii="Verdana" w:hAnsi="Verdana"/>
          <w:sz w:val="24"/>
          <w:szCs w:val="24"/>
        </w:rPr>
      </w:pPr>
      <w:r w:rsidRPr="00226CD4">
        <w:rPr>
          <w:rFonts w:ascii="Verdana" w:hAnsi="Verdana"/>
          <w:sz w:val="24"/>
          <w:szCs w:val="24"/>
        </w:rPr>
        <w:t>It is argued in reply that</w:t>
      </w:r>
      <w:r>
        <w:rPr>
          <w:rFonts w:ascii="Verdana" w:hAnsi="Verdana"/>
          <w:sz w:val="24"/>
          <w:szCs w:val="24"/>
        </w:rPr>
        <w:t xml:space="preserve"> even if the Department contends that </w:t>
      </w:r>
      <w:r w:rsidR="006D5879">
        <w:rPr>
          <w:rFonts w:ascii="Verdana" w:hAnsi="Verdana"/>
          <w:sz w:val="24"/>
          <w:szCs w:val="24"/>
        </w:rPr>
        <w:t xml:space="preserve">ECL/Ecom are proper parties to the suit, the intervenor even if proper party, it does not become a plaintiff or defendant to the suit. This argument devoid of merit when viewed in the context of the definition </w:t>
      </w:r>
      <w:r w:rsidR="006D5879">
        <w:rPr>
          <w:rFonts w:ascii="Verdana" w:hAnsi="Verdana"/>
          <w:sz w:val="24"/>
          <w:szCs w:val="24"/>
        </w:rPr>
        <w:lastRenderedPageBreak/>
        <w:t>of Applicant, Application, Rule 2 (d), Rule 2 (k), Rule (5) and Rule (28) of the Authority Procedure Rules, 1996 and read with the provisions contained in Chapter XIX-B of the Act, which are special provisions for the purpose to deal with applications and any other necessary or proper party who wishes to join in the application under section 245Q (1) of the Act and would ipso facto become an applicant with the original applicant and requires to dealt with in</w:t>
      </w:r>
      <w:r w:rsidR="000D1765">
        <w:rPr>
          <w:rFonts w:ascii="Verdana" w:hAnsi="Verdana"/>
          <w:sz w:val="24"/>
          <w:szCs w:val="24"/>
        </w:rPr>
        <w:t xml:space="preserve"> </w:t>
      </w:r>
      <w:r w:rsidR="006D5879">
        <w:rPr>
          <w:rFonts w:ascii="Verdana" w:hAnsi="Verdana"/>
          <w:sz w:val="24"/>
          <w:szCs w:val="24"/>
        </w:rPr>
        <w:t xml:space="preserve">a similar manner as that </w:t>
      </w:r>
      <w:r w:rsidR="000D1765">
        <w:rPr>
          <w:rFonts w:ascii="Verdana" w:hAnsi="Verdana"/>
          <w:sz w:val="24"/>
          <w:szCs w:val="24"/>
        </w:rPr>
        <w:t>in the case of original applicant and any decision shall apply mutatis mutandis to such joinder party also.</w:t>
      </w:r>
    </w:p>
    <w:p w14:paraId="19B617D2" w14:textId="2F8DEC7F" w:rsidR="00E909D4" w:rsidRPr="00A57C8F" w:rsidRDefault="00E909D4" w:rsidP="00A24727">
      <w:pPr>
        <w:ind w:left="720" w:right="-188"/>
        <w:rPr>
          <w:rFonts w:ascii="Verdana" w:hAnsi="Verdana"/>
          <w:sz w:val="24"/>
          <w:szCs w:val="24"/>
        </w:rPr>
      </w:pPr>
      <w:r w:rsidRPr="00A57C8F">
        <w:rPr>
          <w:rFonts w:ascii="Verdana" w:hAnsi="Verdana"/>
          <w:sz w:val="24"/>
          <w:szCs w:val="24"/>
        </w:rPr>
        <w:t xml:space="preserve">To conclude, it is humbly submitted that in view of Rule (5) and Rule </w:t>
      </w:r>
      <w:r w:rsidR="004913E1">
        <w:rPr>
          <w:rFonts w:ascii="Verdana" w:hAnsi="Verdana"/>
          <w:sz w:val="24"/>
          <w:szCs w:val="24"/>
        </w:rPr>
        <w:t>(</w:t>
      </w:r>
      <w:r w:rsidRPr="00A57C8F">
        <w:rPr>
          <w:rFonts w:ascii="Verdana" w:hAnsi="Verdana"/>
          <w:sz w:val="24"/>
          <w:szCs w:val="24"/>
        </w:rPr>
        <w:t xml:space="preserve">28) of the Authority Procedure Rules </w:t>
      </w:r>
      <w:r w:rsidR="004913E1">
        <w:rPr>
          <w:rFonts w:ascii="Verdana" w:hAnsi="Verdana"/>
          <w:sz w:val="24"/>
          <w:szCs w:val="24"/>
        </w:rPr>
        <w:t xml:space="preserve">read with other relevant Rules as discussed above with relevant provisions of Chapter XIX-B of the Act </w:t>
      </w:r>
      <w:r w:rsidRPr="00A57C8F">
        <w:rPr>
          <w:rFonts w:ascii="Verdana" w:hAnsi="Verdana"/>
          <w:sz w:val="24"/>
          <w:szCs w:val="24"/>
        </w:rPr>
        <w:t>and analogous provisions contained in CPC as explained earlier, these applications does not require to be admitted and be rejected</w:t>
      </w:r>
      <w:r w:rsidR="00610E80">
        <w:rPr>
          <w:rFonts w:ascii="Verdana" w:hAnsi="Verdana"/>
          <w:sz w:val="24"/>
          <w:szCs w:val="24"/>
        </w:rPr>
        <w:t xml:space="preserve"> for the reason that no subsequent application can be filed in same cause of action after dismissal of the application filed not only by EPSL but even by the Intervenors as withdrawal shall have the same effect on EPSL as well on the case of the intervenors in view of special provisions contained in Chapter XIX-B of the Act read with relevant rules of the Authority Procedure Rules, 1996.</w:t>
      </w:r>
    </w:p>
    <w:p w14:paraId="303BE6DB" w14:textId="70EDC722" w:rsidR="008C7E65" w:rsidRPr="00A24727" w:rsidRDefault="000100F6" w:rsidP="00A24727">
      <w:pPr>
        <w:ind w:left="720" w:right="-188"/>
        <w:rPr>
          <w:rFonts w:ascii="Verdana" w:hAnsi="Verdana"/>
          <w:b/>
          <w:sz w:val="24"/>
          <w:szCs w:val="24"/>
        </w:rPr>
      </w:pPr>
      <w:bookmarkStart w:id="4" w:name="_Hlk19185902"/>
      <w:r w:rsidRPr="00A24727">
        <w:rPr>
          <w:rFonts w:ascii="Verdana" w:hAnsi="Verdana"/>
          <w:b/>
          <w:sz w:val="24"/>
          <w:szCs w:val="24"/>
        </w:rPr>
        <w:t>2.</w:t>
      </w:r>
      <w:r w:rsidR="00966EEE" w:rsidRPr="00A24727">
        <w:rPr>
          <w:rFonts w:ascii="Verdana" w:hAnsi="Verdana"/>
          <w:b/>
          <w:sz w:val="24"/>
          <w:szCs w:val="24"/>
        </w:rPr>
        <w:t xml:space="preserve">Without prejudice to the above, </w:t>
      </w:r>
      <w:r w:rsidR="009960BB" w:rsidRPr="00A24727">
        <w:rPr>
          <w:rFonts w:ascii="Verdana" w:hAnsi="Verdana"/>
          <w:b/>
          <w:sz w:val="24"/>
          <w:szCs w:val="24"/>
        </w:rPr>
        <w:t xml:space="preserve">Whether the question raised by the two applicants could be said to be hit by item (i) </w:t>
      </w:r>
      <w:bookmarkStart w:id="5" w:name="_Hlk13080409"/>
      <w:r w:rsidR="009960BB" w:rsidRPr="00A24727">
        <w:rPr>
          <w:rFonts w:ascii="Verdana" w:hAnsi="Verdana"/>
          <w:b/>
          <w:sz w:val="24"/>
          <w:szCs w:val="24"/>
        </w:rPr>
        <w:t>of the 1</w:t>
      </w:r>
      <w:r w:rsidR="009960BB" w:rsidRPr="00A24727">
        <w:rPr>
          <w:rFonts w:ascii="Verdana" w:hAnsi="Verdana"/>
          <w:b/>
          <w:sz w:val="24"/>
          <w:szCs w:val="24"/>
          <w:vertAlign w:val="superscript"/>
        </w:rPr>
        <w:t>st</w:t>
      </w:r>
      <w:r w:rsidR="009960BB" w:rsidRPr="00A24727">
        <w:rPr>
          <w:rFonts w:ascii="Verdana" w:hAnsi="Verdana"/>
          <w:b/>
          <w:sz w:val="24"/>
          <w:szCs w:val="24"/>
        </w:rPr>
        <w:t xml:space="preserve"> proviso to section 245R</w:t>
      </w:r>
      <w:r w:rsidR="00975059" w:rsidRPr="00A24727">
        <w:rPr>
          <w:rFonts w:ascii="Verdana" w:hAnsi="Verdana"/>
          <w:b/>
          <w:sz w:val="24"/>
          <w:szCs w:val="24"/>
        </w:rPr>
        <w:t xml:space="preserve"> </w:t>
      </w:r>
      <w:r w:rsidR="009960BB" w:rsidRPr="00A24727">
        <w:rPr>
          <w:rFonts w:ascii="Verdana" w:hAnsi="Verdana"/>
          <w:b/>
          <w:sz w:val="24"/>
          <w:szCs w:val="24"/>
        </w:rPr>
        <w:t>(2) of the Act</w:t>
      </w:r>
      <w:bookmarkEnd w:id="5"/>
      <w:r w:rsidR="009960BB" w:rsidRPr="00A24727">
        <w:rPr>
          <w:rFonts w:ascii="Verdana" w:hAnsi="Verdana"/>
          <w:b/>
          <w:sz w:val="24"/>
          <w:szCs w:val="24"/>
        </w:rPr>
        <w:t xml:space="preserve"> for the reason that proceedings</w:t>
      </w:r>
      <w:r w:rsidR="008C7E65" w:rsidRPr="00A24727">
        <w:rPr>
          <w:rFonts w:ascii="Verdana" w:hAnsi="Verdana"/>
          <w:b/>
          <w:sz w:val="24"/>
          <w:szCs w:val="24"/>
        </w:rPr>
        <w:t xml:space="preserve"> as well question could be </w:t>
      </w:r>
      <w:r w:rsidR="00B3222E" w:rsidRPr="00A24727">
        <w:rPr>
          <w:rFonts w:ascii="Verdana" w:hAnsi="Verdana"/>
          <w:b/>
          <w:sz w:val="24"/>
          <w:szCs w:val="24"/>
        </w:rPr>
        <w:t xml:space="preserve">said to be </w:t>
      </w:r>
      <w:r w:rsidR="009960BB" w:rsidRPr="00A24727">
        <w:rPr>
          <w:rFonts w:ascii="Verdana" w:hAnsi="Verdana"/>
          <w:b/>
          <w:sz w:val="24"/>
          <w:szCs w:val="24"/>
        </w:rPr>
        <w:t>pending before</w:t>
      </w:r>
      <w:r w:rsidR="008C7E65" w:rsidRPr="00A24727">
        <w:rPr>
          <w:rFonts w:ascii="Verdana" w:hAnsi="Verdana"/>
          <w:b/>
          <w:sz w:val="24"/>
          <w:szCs w:val="24"/>
        </w:rPr>
        <w:t xml:space="preserve"> any income-tax authority</w:t>
      </w:r>
      <w:r w:rsidR="009960BB" w:rsidRPr="00A24727">
        <w:rPr>
          <w:rFonts w:ascii="Verdana" w:hAnsi="Verdana"/>
          <w:b/>
          <w:sz w:val="24"/>
          <w:szCs w:val="24"/>
        </w:rPr>
        <w:t xml:space="preserve"> </w:t>
      </w:r>
      <w:r w:rsidR="008C7E65" w:rsidRPr="00A24727">
        <w:rPr>
          <w:rFonts w:ascii="Verdana" w:hAnsi="Verdana"/>
          <w:b/>
          <w:sz w:val="24"/>
          <w:szCs w:val="24"/>
        </w:rPr>
        <w:t xml:space="preserve">(in this case before learned Assessing Officer) </w:t>
      </w:r>
      <w:r w:rsidR="009960BB" w:rsidRPr="00A24727">
        <w:rPr>
          <w:rFonts w:ascii="Verdana" w:hAnsi="Verdana"/>
          <w:b/>
          <w:sz w:val="24"/>
          <w:szCs w:val="24"/>
        </w:rPr>
        <w:t xml:space="preserve">who was making enquiries from the two </w:t>
      </w:r>
      <w:r w:rsidR="00B3222E" w:rsidRPr="00A24727">
        <w:rPr>
          <w:rFonts w:ascii="Verdana" w:hAnsi="Verdana"/>
          <w:b/>
          <w:sz w:val="24"/>
          <w:szCs w:val="24"/>
        </w:rPr>
        <w:t xml:space="preserve">present </w:t>
      </w:r>
      <w:r w:rsidR="009960BB" w:rsidRPr="00A24727">
        <w:rPr>
          <w:rFonts w:ascii="Verdana" w:hAnsi="Verdana"/>
          <w:b/>
          <w:sz w:val="24"/>
          <w:szCs w:val="24"/>
        </w:rPr>
        <w:t>applicants in terms of Section 133(6) of the Act</w:t>
      </w:r>
      <w:r w:rsidR="008C7E65" w:rsidRPr="00A24727">
        <w:rPr>
          <w:rFonts w:ascii="Verdana" w:hAnsi="Verdana"/>
          <w:b/>
          <w:sz w:val="24"/>
          <w:szCs w:val="24"/>
        </w:rPr>
        <w:t xml:space="preserve"> and raising questions in this regard, which fact has been confirmed by the two present applicants in Para (4) of their identically worded intervention applications filed on 24</w:t>
      </w:r>
      <w:r w:rsidR="008C7E65" w:rsidRPr="00A24727">
        <w:rPr>
          <w:rFonts w:ascii="Verdana" w:hAnsi="Verdana"/>
          <w:b/>
          <w:sz w:val="24"/>
          <w:szCs w:val="24"/>
          <w:vertAlign w:val="superscript"/>
        </w:rPr>
        <w:t>th</w:t>
      </w:r>
      <w:r w:rsidR="008C7E65" w:rsidRPr="00A24727">
        <w:rPr>
          <w:rFonts w:ascii="Verdana" w:hAnsi="Verdana"/>
          <w:b/>
          <w:sz w:val="24"/>
          <w:szCs w:val="24"/>
        </w:rPr>
        <w:t xml:space="preserve"> May, 2011. It was this fact which made </w:t>
      </w:r>
      <w:r w:rsidR="004B093F" w:rsidRPr="00A24727">
        <w:rPr>
          <w:rFonts w:ascii="Verdana" w:hAnsi="Verdana"/>
          <w:b/>
          <w:sz w:val="24"/>
          <w:szCs w:val="24"/>
        </w:rPr>
        <w:t xml:space="preserve">the </w:t>
      </w:r>
      <w:r w:rsidR="008C7E65" w:rsidRPr="00A24727">
        <w:rPr>
          <w:rFonts w:ascii="Verdana" w:hAnsi="Verdana"/>
          <w:b/>
          <w:sz w:val="24"/>
          <w:szCs w:val="24"/>
        </w:rPr>
        <w:t>two present applicants to join in the Application No. 982 of 2010 filed by EPSL</w:t>
      </w:r>
      <w:r w:rsidR="00B3222E" w:rsidRPr="00A24727">
        <w:rPr>
          <w:rFonts w:ascii="Verdana" w:hAnsi="Verdana"/>
          <w:b/>
          <w:sz w:val="24"/>
          <w:szCs w:val="24"/>
        </w:rPr>
        <w:t xml:space="preserve"> as intervenors in the proceedings under Section 245R (4) of the Act</w:t>
      </w:r>
      <w:r w:rsidR="008C7E65" w:rsidRPr="00A24727">
        <w:rPr>
          <w:rFonts w:ascii="Verdana" w:hAnsi="Verdana"/>
          <w:b/>
          <w:sz w:val="24"/>
          <w:szCs w:val="24"/>
        </w:rPr>
        <w:t>;</w:t>
      </w:r>
    </w:p>
    <w:bookmarkEnd w:id="4"/>
    <w:p w14:paraId="432028C0" w14:textId="71241B45" w:rsidR="006574B9" w:rsidRDefault="000100F6" w:rsidP="00224EA3">
      <w:pPr>
        <w:ind w:left="720" w:right="-188"/>
        <w:rPr>
          <w:rFonts w:ascii="Verdana" w:hAnsi="Verdana"/>
          <w:sz w:val="24"/>
          <w:szCs w:val="24"/>
        </w:rPr>
      </w:pPr>
      <w:r w:rsidRPr="00224EA3">
        <w:rPr>
          <w:rFonts w:ascii="Verdana" w:hAnsi="Verdana"/>
          <w:sz w:val="24"/>
          <w:szCs w:val="24"/>
        </w:rPr>
        <w:t xml:space="preserve">Answer to this question would be “yes”. As can be seen from the sequence of events, it was quite clear from the exchanges between the two present applicants and the Deputy Director of Income-tax (International Taxation) who was the assessing Officer </w:t>
      </w:r>
      <w:r w:rsidR="00BD2F3F" w:rsidRPr="00224EA3">
        <w:rPr>
          <w:rFonts w:ascii="Verdana" w:hAnsi="Verdana"/>
          <w:sz w:val="24"/>
          <w:szCs w:val="24"/>
        </w:rPr>
        <w:t xml:space="preserve">(“the A.O”) </w:t>
      </w:r>
      <w:r w:rsidRPr="00224EA3">
        <w:rPr>
          <w:rFonts w:ascii="Verdana" w:hAnsi="Verdana"/>
          <w:sz w:val="24"/>
          <w:szCs w:val="24"/>
        </w:rPr>
        <w:t xml:space="preserve">having lawful jurisdiction over the two present applicants that the enquiry was being made to find out whether the capital gains earned by the two present applicants would be subject to tax in India. The proceedings were pending as enquiries were initiated in terms of Section 133(6) of the Income-tax Act. This fact has been confirmed by the present two applicants in their </w:t>
      </w:r>
      <w:r w:rsidR="00BD2F3F" w:rsidRPr="00224EA3">
        <w:rPr>
          <w:rFonts w:ascii="Verdana" w:hAnsi="Verdana"/>
          <w:sz w:val="24"/>
          <w:szCs w:val="24"/>
        </w:rPr>
        <w:t xml:space="preserve">applications for intervention where it is confirmed that questions have been asked by the A.O. </w:t>
      </w:r>
      <w:r w:rsidR="006574B9">
        <w:rPr>
          <w:rFonts w:ascii="Verdana" w:hAnsi="Verdana"/>
          <w:sz w:val="24"/>
          <w:szCs w:val="24"/>
        </w:rPr>
        <w:t xml:space="preserve">In this regard, kind attention of Hon’ble Authority is drawn to the </w:t>
      </w:r>
      <w:r w:rsidR="001A3A85">
        <w:rPr>
          <w:rFonts w:ascii="Verdana" w:hAnsi="Verdana"/>
          <w:sz w:val="24"/>
          <w:szCs w:val="24"/>
        </w:rPr>
        <w:t xml:space="preserve">relevant </w:t>
      </w:r>
      <w:r w:rsidR="006574B9">
        <w:rPr>
          <w:rFonts w:ascii="Verdana" w:hAnsi="Verdana"/>
          <w:sz w:val="24"/>
          <w:szCs w:val="24"/>
        </w:rPr>
        <w:t xml:space="preserve">provisions </w:t>
      </w:r>
      <w:r w:rsidR="006574B9">
        <w:rPr>
          <w:rFonts w:ascii="Verdana" w:hAnsi="Verdana"/>
          <w:sz w:val="24"/>
          <w:szCs w:val="24"/>
        </w:rPr>
        <w:lastRenderedPageBreak/>
        <w:t xml:space="preserve">of Section 133 (6) of the Act, </w:t>
      </w:r>
      <w:r w:rsidR="0011452F">
        <w:rPr>
          <w:rFonts w:ascii="Verdana" w:hAnsi="Verdana"/>
          <w:sz w:val="24"/>
          <w:szCs w:val="24"/>
        </w:rPr>
        <w:t xml:space="preserve">relevant extracts of </w:t>
      </w:r>
      <w:r w:rsidR="006574B9">
        <w:rPr>
          <w:rFonts w:ascii="Verdana" w:hAnsi="Verdana"/>
          <w:sz w:val="24"/>
          <w:szCs w:val="24"/>
        </w:rPr>
        <w:t>which</w:t>
      </w:r>
      <w:r w:rsidR="0011452F">
        <w:rPr>
          <w:rFonts w:ascii="Verdana" w:hAnsi="Verdana"/>
          <w:sz w:val="24"/>
          <w:szCs w:val="24"/>
        </w:rPr>
        <w:t>,</w:t>
      </w:r>
      <w:r w:rsidR="006574B9">
        <w:rPr>
          <w:rFonts w:ascii="Verdana" w:hAnsi="Verdana"/>
          <w:sz w:val="24"/>
          <w:szCs w:val="24"/>
        </w:rPr>
        <w:t xml:space="preserve"> for the sake of convenience</w:t>
      </w:r>
      <w:r w:rsidR="0011452F">
        <w:rPr>
          <w:rFonts w:ascii="Verdana" w:hAnsi="Verdana"/>
          <w:sz w:val="24"/>
          <w:szCs w:val="24"/>
        </w:rPr>
        <w:t>,</w:t>
      </w:r>
      <w:r w:rsidR="006574B9">
        <w:rPr>
          <w:rFonts w:ascii="Verdana" w:hAnsi="Verdana"/>
          <w:sz w:val="24"/>
          <w:szCs w:val="24"/>
        </w:rPr>
        <w:t xml:space="preserve"> is reproduced as under:</w:t>
      </w:r>
    </w:p>
    <w:p w14:paraId="0E4787C3" w14:textId="77777777" w:rsidR="00C176C1" w:rsidRPr="001A3A85" w:rsidRDefault="00C176C1" w:rsidP="00C176C1">
      <w:pPr>
        <w:shd w:val="clear" w:color="auto" w:fill="FFFFFF"/>
        <w:spacing w:after="80" w:line="240" w:lineRule="auto"/>
        <w:ind w:left="360" w:right="360" w:firstLine="360"/>
        <w:jc w:val="both"/>
        <w:rPr>
          <w:rFonts w:ascii="Verdana" w:eastAsia="Times New Roman" w:hAnsi="Verdana" w:cs="Times New Roman"/>
          <w:sz w:val="24"/>
          <w:szCs w:val="24"/>
          <w:lang w:eastAsia="en-IN"/>
        </w:rPr>
      </w:pPr>
      <w:r w:rsidRPr="001A3A85">
        <w:rPr>
          <w:rFonts w:ascii="Verdana" w:eastAsia="Times New Roman" w:hAnsi="Verdana" w:cs="Times New Roman"/>
          <w:b/>
          <w:bCs/>
          <w:sz w:val="24"/>
          <w:szCs w:val="24"/>
          <w:lang w:eastAsia="en-IN"/>
        </w:rPr>
        <w:t>Power to call for information.</w:t>
      </w:r>
    </w:p>
    <w:p w14:paraId="69300387" w14:textId="5F80E2D5" w:rsidR="00C176C1" w:rsidRPr="001A3A85" w:rsidRDefault="00C176C1" w:rsidP="00C176C1">
      <w:pPr>
        <w:shd w:val="clear" w:color="auto" w:fill="FFFFFF"/>
        <w:spacing w:line="240" w:lineRule="auto"/>
        <w:ind w:left="720" w:right="360"/>
        <w:jc w:val="both"/>
        <w:rPr>
          <w:rFonts w:ascii="Verdana" w:eastAsia="Times New Roman" w:hAnsi="Verdana" w:cs="Times New Roman"/>
          <w:sz w:val="24"/>
          <w:szCs w:val="24"/>
          <w:lang w:eastAsia="en-IN"/>
        </w:rPr>
      </w:pPr>
      <w:r w:rsidRPr="001A3A85">
        <w:rPr>
          <w:rFonts w:ascii="Verdana" w:eastAsia="Times New Roman" w:hAnsi="Verdana" w:cs="Times New Roman"/>
          <w:b/>
          <w:bCs/>
          <w:sz w:val="24"/>
          <w:szCs w:val="24"/>
          <w:lang w:eastAsia="en-IN"/>
        </w:rPr>
        <w:t>133.</w:t>
      </w:r>
      <w:r w:rsidRPr="001A3A85">
        <w:rPr>
          <w:rFonts w:ascii="Verdana" w:eastAsia="Times New Roman" w:hAnsi="Verdana" w:cs="Times New Roman"/>
          <w:sz w:val="24"/>
          <w:szCs w:val="24"/>
          <w:lang w:eastAsia="en-IN"/>
        </w:rPr>
        <w:t> The Assessing Officer, the Deputy Commissioner (Appeals), the Joint Commissioner or the Commissioner (Appeals) may, for the purposes of this Act,—</w:t>
      </w:r>
    </w:p>
    <w:tbl>
      <w:tblPr>
        <w:tblW w:w="0" w:type="auto"/>
        <w:tblCellSpacing w:w="15" w:type="dxa"/>
        <w:tblInd w:w="28" w:type="dxa"/>
        <w:tblCellMar>
          <w:top w:w="15" w:type="dxa"/>
          <w:left w:w="15" w:type="dxa"/>
          <w:bottom w:w="15" w:type="dxa"/>
          <w:right w:w="15" w:type="dxa"/>
        </w:tblCellMar>
        <w:tblLook w:val="04A0" w:firstRow="1" w:lastRow="0" w:firstColumn="1" w:lastColumn="0" w:noHBand="0" w:noVBand="1"/>
      </w:tblPr>
      <w:tblGrid>
        <w:gridCol w:w="755"/>
        <w:gridCol w:w="150"/>
        <w:gridCol w:w="8337"/>
      </w:tblGrid>
      <w:tr w:rsidR="00C176C1" w:rsidRPr="001A3A85" w14:paraId="3007EFF9" w14:textId="77777777" w:rsidTr="00C176C1">
        <w:trPr>
          <w:tblCellSpacing w:w="15" w:type="dxa"/>
        </w:trPr>
        <w:tc>
          <w:tcPr>
            <w:tcW w:w="705" w:type="dxa"/>
            <w:tcBorders>
              <w:top w:val="single" w:sz="2" w:space="0" w:color="FFFFFF"/>
              <w:right w:val="single" w:sz="2" w:space="0" w:color="FFFFFF"/>
            </w:tcBorders>
            <w:noWrap/>
            <w:hideMark/>
          </w:tcPr>
          <w:p w14:paraId="72043B04" w14:textId="77777777" w:rsidR="00C176C1" w:rsidRPr="001A3A85" w:rsidRDefault="00C176C1" w:rsidP="00C176C1">
            <w:pPr>
              <w:spacing w:after="0" w:line="240" w:lineRule="auto"/>
              <w:jc w:val="right"/>
              <w:rPr>
                <w:rFonts w:ascii="Verdana" w:eastAsia="Times New Roman" w:hAnsi="Verdana" w:cs="Times New Roman"/>
                <w:color w:val="3E3E3E"/>
                <w:sz w:val="24"/>
                <w:szCs w:val="24"/>
                <w:lang w:eastAsia="en-IN"/>
              </w:rPr>
            </w:pPr>
            <w:r w:rsidRPr="001A3A85">
              <w:rPr>
                <w:rFonts w:ascii="Verdana" w:eastAsia="Times New Roman" w:hAnsi="Verdana" w:cs="Times New Roman"/>
                <w:color w:val="3E3E3E"/>
                <w:sz w:val="24"/>
                <w:szCs w:val="24"/>
                <w:lang w:eastAsia="en-IN"/>
              </w:rPr>
              <w:t>(</w:t>
            </w:r>
            <w:r w:rsidRPr="001A3A85">
              <w:rPr>
                <w:rFonts w:ascii="Verdana" w:eastAsia="Times New Roman" w:hAnsi="Verdana" w:cs="Times New Roman"/>
                <w:i/>
                <w:iCs/>
                <w:color w:val="3E3E3E"/>
                <w:sz w:val="24"/>
                <w:szCs w:val="24"/>
                <w:lang w:eastAsia="en-IN"/>
              </w:rPr>
              <w:t>1</w:t>
            </w:r>
            <w:r w:rsidRPr="001A3A85">
              <w:rPr>
                <w:rFonts w:ascii="Verdana" w:eastAsia="Times New Roman" w:hAnsi="Verdana" w:cs="Times New Roman"/>
                <w:color w:val="3E3E3E"/>
                <w:sz w:val="24"/>
                <w:szCs w:val="24"/>
                <w:lang w:eastAsia="en-IN"/>
              </w:rPr>
              <w:t>)</w:t>
            </w:r>
          </w:p>
        </w:tc>
        <w:tc>
          <w:tcPr>
            <w:tcW w:w="0" w:type="auto"/>
            <w:tcBorders>
              <w:top w:val="single" w:sz="2" w:space="0" w:color="FFFFFF"/>
              <w:right w:val="single" w:sz="2" w:space="0" w:color="FFFFFF"/>
            </w:tcBorders>
            <w:hideMark/>
          </w:tcPr>
          <w:p w14:paraId="2758F4A7" w14:textId="77777777" w:rsidR="00C176C1" w:rsidRPr="001A3A85" w:rsidRDefault="00C176C1" w:rsidP="00C176C1">
            <w:pPr>
              <w:spacing w:after="0" w:line="240" w:lineRule="auto"/>
              <w:jc w:val="both"/>
              <w:rPr>
                <w:rFonts w:ascii="Verdana" w:eastAsia="Times New Roman" w:hAnsi="Verdana" w:cs="Times New Roman"/>
                <w:color w:val="3E3E3E"/>
                <w:sz w:val="24"/>
                <w:szCs w:val="24"/>
                <w:lang w:eastAsia="en-IN"/>
              </w:rPr>
            </w:pPr>
            <w:r w:rsidRPr="001A3A85">
              <w:rPr>
                <w:rFonts w:ascii="Verdana" w:eastAsia="Times New Roman" w:hAnsi="Verdana" w:cs="Times New Roman"/>
                <w:color w:val="3E3E3E"/>
                <w:sz w:val="24"/>
                <w:szCs w:val="24"/>
                <w:lang w:eastAsia="en-IN"/>
              </w:rPr>
              <w:t> </w:t>
            </w:r>
          </w:p>
        </w:tc>
        <w:tc>
          <w:tcPr>
            <w:tcW w:w="0" w:type="auto"/>
          </w:tcPr>
          <w:p w14:paraId="1AAE693C" w14:textId="481D665D" w:rsidR="00C176C1" w:rsidRPr="001A3A85" w:rsidRDefault="00C176C1" w:rsidP="00C176C1">
            <w:pPr>
              <w:spacing w:after="0" w:line="240" w:lineRule="auto"/>
              <w:jc w:val="both"/>
              <w:rPr>
                <w:rFonts w:ascii="Verdana" w:eastAsia="Times New Roman" w:hAnsi="Verdana" w:cs="Times New Roman"/>
                <w:color w:val="3E3E3E"/>
                <w:sz w:val="24"/>
                <w:szCs w:val="24"/>
                <w:lang w:eastAsia="en-IN"/>
              </w:rPr>
            </w:pPr>
            <w:r w:rsidRPr="001A3A85">
              <w:rPr>
                <w:rFonts w:ascii="Verdana" w:eastAsia="Times New Roman" w:hAnsi="Verdana" w:cs="Times New Roman"/>
                <w:color w:val="3E3E3E"/>
                <w:sz w:val="24"/>
                <w:szCs w:val="24"/>
                <w:lang w:eastAsia="en-IN"/>
              </w:rPr>
              <w:t>…</w:t>
            </w:r>
          </w:p>
        </w:tc>
      </w:tr>
      <w:tr w:rsidR="00C176C1" w:rsidRPr="001A3A85" w14:paraId="5B30F769" w14:textId="77777777" w:rsidTr="00C176C1">
        <w:trPr>
          <w:tblCellSpacing w:w="15" w:type="dxa"/>
        </w:trPr>
        <w:tc>
          <w:tcPr>
            <w:tcW w:w="705" w:type="dxa"/>
            <w:tcBorders>
              <w:top w:val="single" w:sz="2" w:space="0" w:color="FFFFFF"/>
              <w:right w:val="single" w:sz="2" w:space="0" w:color="FFFFFF"/>
            </w:tcBorders>
            <w:noWrap/>
            <w:hideMark/>
          </w:tcPr>
          <w:p w14:paraId="3B8E00BE" w14:textId="77777777" w:rsidR="00C176C1" w:rsidRPr="001A3A85" w:rsidRDefault="00C176C1" w:rsidP="00C176C1">
            <w:pPr>
              <w:spacing w:after="0" w:line="240" w:lineRule="auto"/>
              <w:jc w:val="right"/>
              <w:rPr>
                <w:rFonts w:ascii="Verdana" w:eastAsia="Times New Roman" w:hAnsi="Verdana" w:cs="Times New Roman"/>
                <w:color w:val="3E3E3E"/>
                <w:sz w:val="24"/>
                <w:szCs w:val="24"/>
                <w:lang w:eastAsia="en-IN"/>
              </w:rPr>
            </w:pPr>
            <w:r w:rsidRPr="001A3A85">
              <w:rPr>
                <w:rFonts w:ascii="Verdana" w:eastAsia="Times New Roman" w:hAnsi="Verdana" w:cs="Times New Roman"/>
                <w:color w:val="3E3E3E"/>
                <w:sz w:val="24"/>
                <w:szCs w:val="24"/>
                <w:lang w:eastAsia="en-IN"/>
              </w:rPr>
              <w:t>(</w:t>
            </w:r>
            <w:r w:rsidRPr="001A3A85">
              <w:rPr>
                <w:rFonts w:ascii="Verdana" w:eastAsia="Times New Roman" w:hAnsi="Verdana" w:cs="Times New Roman"/>
                <w:i/>
                <w:iCs/>
                <w:color w:val="3E3E3E"/>
                <w:sz w:val="24"/>
                <w:szCs w:val="24"/>
                <w:lang w:eastAsia="en-IN"/>
              </w:rPr>
              <w:t>2</w:t>
            </w:r>
            <w:r w:rsidRPr="001A3A85">
              <w:rPr>
                <w:rFonts w:ascii="Verdana" w:eastAsia="Times New Roman" w:hAnsi="Verdana" w:cs="Times New Roman"/>
                <w:color w:val="3E3E3E"/>
                <w:sz w:val="24"/>
                <w:szCs w:val="24"/>
                <w:lang w:eastAsia="en-IN"/>
              </w:rPr>
              <w:t>)</w:t>
            </w:r>
          </w:p>
        </w:tc>
        <w:tc>
          <w:tcPr>
            <w:tcW w:w="0" w:type="auto"/>
            <w:tcBorders>
              <w:top w:val="single" w:sz="2" w:space="0" w:color="FFFFFF"/>
              <w:right w:val="single" w:sz="2" w:space="0" w:color="FFFFFF"/>
            </w:tcBorders>
            <w:hideMark/>
          </w:tcPr>
          <w:p w14:paraId="51BF5855" w14:textId="77777777" w:rsidR="00C176C1" w:rsidRPr="001A3A85" w:rsidRDefault="00C176C1" w:rsidP="00C176C1">
            <w:pPr>
              <w:spacing w:after="0" w:line="240" w:lineRule="auto"/>
              <w:jc w:val="both"/>
              <w:rPr>
                <w:rFonts w:ascii="Verdana" w:eastAsia="Times New Roman" w:hAnsi="Verdana" w:cs="Times New Roman"/>
                <w:color w:val="3E3E3E"/>
                <w:sz w:val="24"/>
                <w:szCs w:val="24"/>
                <w:lang w:eastAsia="en-IN"/>
              </w:rPr>
            </w:pPr>
            <w:r w:rsidRPr="001A3A85">
              <w:rPr>
                <w:rFonts w:ascii="Verdana" w:eastAsia="Times New Roman" w:hAnsi="Verdana" w:cs="Times New Roman"/>
                <w:color w:val="3E3E3E"/>
                <w:sz w:val="24"/>
                <w:szCs w:val="24"/>
                <w:lang w:eastAsia="en-IN"/>
              </w:rPr>
              <w:t> </w:t>
            </w:r>
          </w:p>
        </w:tc>
        <w:tc>
          <w:tcPr>
            <w:tcW w:w="0" w:type="auto"/>
          </w:tcPr>
          <w:p w14:paraId="34AC9084" w14:textId="576CB039" w:rsidR="00C176C1" w:rsidRPr="001A3A85" w:rsidRDefault="00C176C1" w:rsidP="00C176C1">
            <w:pPr>
              <w:spacing w:after="0" w:line="240" w:lineRule="auto"/>
              <w:jc w:val="both"/>
              <w:rPr>
                <w:rFonts w:ascii="Verdana" w:eastAsia="Times New Roman" w:hAnsi="Verdana" w:cs="Times New Roman"/>
                <w:color w:val="3E3E3E"/>
                <w:sz w:val="24"/>
                <w:szCs w:val="24"/>
                <w:lang w:eastAsia="en-IN"/>
              </w:rPr>
            </w:pPr>
            <w:r w:rsidRPr="001A3A85">
              <w:rPr>
                <w:rFonts w:ascii="Verdana" w:eastAsia="Times New Roman" w:hAnsi="Verdana" w:cs="Times New Roman"/>
                <w:color w:val="3E3E3E"/>
                <w:sz w:val="24"/>
                <w:szCs w:val="24"/>
                <w:lang w:eastAsia="en-IN"/>
              </w:rPr>
              <w:t>…</w:t>
            </w:r>
          </w:p>
        </w:tc>
      </w:tr>
      <w:tr w:rsidR="00C176C1" w:rsidRPr="001A3A85" w14:paraId="5C918691" w14:textId="77777777" w:rsidTr="00C176C1">
        <w:trPr>
          <w:tblCellSpacing w:w="15" w:type="dxa"/>
        </w:trPr>
        <w:tc>
          <w:tcPr>
            <w:tcW w:w="705" w:type="dxa"/>
            <w:tcBorders>
              <w:top w:val="single" w:sz="2" w:space="0" w:color="FFFFFF"/>
              <w:right w:val="single" w:sz="2" w:space="0" w:color="FFFFFF"/>
            </w:tcBorders>
            <w:noWrap/>
            <w:hideMark/>
          </w:tcPr>
          <w:p w14:paraId="009060B9" w14:textId="77777777" w:rsidR="00C176C1" w:rsidRPr="001A3A85" w:rsidRDefault="00C176C1" w:rsidP="00C176C1">
            <w:pPr>
              <w:spacing w:after="0" w:line="240" w:lineRule="auto"/>
              <w:jc w:val="right"/>
              <w:rPr>
                <w:rFonts w:ascii="Verdana" w:eastAsia="Times New Roman" w:hAnsi="Verdana" w:cs="Times New Roman"/>
                <w:color w:val="3E3E3E"/>
                <w:sz w:val="24"/>
                <w:szCs w:val="24"/>
                <w:lang w:eastAsia="en-IN"/>
              </w:rPr>
            </w:pPr>
            <w:r w:rsidRPr="001A3A85">
              <w:rPr>
                <w:rFonts w:ascii="Verdana" w:eastAsia="Times New Roman" w:hAnsi="Verdana" w:cs="Times New Roman"/>
                <w:color w:val="3E3E3E"/>
                <w:sz w:val="24"/>
                <w:szCs w:val="24"/>
                <w:lang w:eastAsia="en-IN"/>
              </w:rPr>
              <w:t>(</w:t>
            </w:r>
            <w:r w:rsidRPr="001A3A85">
              <w:rPr>
                <w:rFonts w:ascii="Verdana" w:eastAsia="Times New Roman" w:hAnsi="Verdana" w:cs="Times New Roman"/>
                <w:i/>
                <w:iCs/>
                <w:color w:val="3E3E3E"/>
                <w:sz w:val="24"/>
                <w:szCs w:val="24"/>
                <w:lang w:eastAsia="en-IN"/>
              </w:rPr>
              <w:t>3</w:t>
            </w:r>
            <w:r w:rsidRPr="001A3A85">
              <w:rPr>
                <w:rFonts w:ascii="Verdana" w:eastAsia="Times New Roman" w:hAnsi="Verdana" w:cs="Times New Roman"/>
                <w:color w:val="3E3E3E"/>
                <w:sz w:val="24"/>
                <w:szCs w:val="24"/>
                <w:lang w:eastAsia="en-IN"/>
              </w:rPr>
              <w:t>)</w:t>
            </w:r>
          </w:p>
        </w:tc>
        <w:tc>
          <w:tcPr>
            <w:tcW w:w="0" w:type="auto"/>
            <w:tcBorders>
              <w:top w:val="single" w:sz="2" w:space="0" w:color="FFFFFF"/>
              <w:right w:val="single" w:sz="2" w:space="0" w:color="FFFFFF"/>
            </w:tcBorders>
            <w:hideMark/>
          </w:tcPr>
          <w:p w14:paraId="3DDB4A10" w14:textId="77777777" w:rsidR="00C176C1" w:rsidRPr="001A3A85" w:rsidRDefault="00C176C1" w:rsidP="00C176C1">
            <w:pPr>
              <w:spacing w:after="0" w:line="240" w:lineRule="auto"/>
              <w:jc w:val="both"/>
              <w:rPr>
                <w:rFonts w:ascii="Verdana" w:eastAsia="Times New Roman" w:hAnsi="Verdana" w:cs="Times New Roman"/>
                <w:color w:val="3E3E3E"/>
                <w:sz w:val="24"/>
                <w:szCs w:val="24"/>
                <w:lang w:eastAsia="en-IN"/>
              </w:rPr>
            </w:pPr>
            <w:r w:rsidRPr="001A3A85">
              <w:rPr>
                <w:rFonts w:ascii="Verdana" w:eastAsia="Times New Roman" w:hAnsi="Verdana" w:cs="Times New Roman"/>
                <w:color w:val="3E3E3E"/>
                <w:sz w:val="24"/>
                <w:szCs w:val="24"/>
                <w:lang w:eastAsia="en-IN"/>
              </w:rPr>
              <w:t> </w:t>
            </w:r>
          </w:p>
        </w:tc>
        <w:tc>
          <w:tcPr>
            <w:tcW w:w="0" w:type="auto"/>
          </w:tcPr>
          <w:p w14:paraId="20B50BC7" w14:textId="6DB545AA" w:rsidR="00C176C1" w:rsidRPr="001A3A85" w:rsidRDefault="00C176C1" w:rsidP="00C176C1">
            <w:pPr>
              <w:spacing w:after="0" w:line="240" w:lineRule="auto"/>
              <w:jc w:val="both"/>
              <w:rPr>
                <w:rFonts w:ascii="Verdana" w:eastAsia="Times New Roman" w:hAnsi="Verdana" w:cs="Times New Roman"/>
                <w:color w:val="3E3E3E"/>
                <w:sz w:val="24"/>
                <w:szCs w:val="24"/>
                <w:lang w:eastAsia="en-IN"/>
              </w:rPr>
            </w:pPr>
            <w:r w:rsidRPr="001A3A85">
              <w:rPr>
                <w:rFonts w:ascii="Verdana" w:eastAsia="Times New Roman" w:hAnsi="Verdana" w:cs="Times New Roman"/>
                <w:color w:val="3E3E3E"/>
                <w:sz w:val="24"/>
                <w:szCs w:val="24"/>
                <w:lang w:eastAsia="en-IN"/>
              </w:rPr>
              <w:t>…</w:t>
            </w:r>
          </w:p>
        </w:tc>
      </w:tr>
      <w:tr w:rsidR="00C176C1" w:rsidRPr="001A3A85" w14:paraId="51C12763" w14:textId="77777777" w:rsidTr="00C176C1">
        <w:trPr>
          <w:tblCellSpacing w:w="15" w:type="dxa"/>
        </w:trPr>
        <w:tc>
          <w:tcPr>
            <w:tcW w:w="705" w:type="dxa"/>
            <w:tcBorders>
              <w:top w:val="single" w:sz="2" w:space="0" w:color="FFFFFF"/>
              <w:right w:val="single" w:sz="2" w:space="0" w:color="FFFFFF"/>
            </w:tcBorders>
            <w:noWrap/>
            <w:hideMark/>
          </w:tcPr>
          <w:p w14:paraId="55E44822" w14:textId="77777777" w:rsidR="00C176C1" w:rsidRPr="001A3A85" w:rsidRDefault="00C176C1" w:rsidP="00C176C1">
            <w:pPr>
              <w:spacing w:after="0" w:line="240" w:lineRule="auto"/>
              <w:jc w:val="right"/>
              <w:rPr>
                <w:rFonts w:ascii="Verdana" w:eastAsia="Times New Roman" w:hAnsi="Verdana" w:cs="Times New Roman"/>
                <w:color w:val="3E3E3E"/>
                <w:sz w:val="24"/>
                <w:szCs w:val="24"/>
                <w:lang w:eastAsia="en-IN"/>
              </w:rPr>
            </w:pPr>
            <w:r w:rsidRPr="001A3A85">
              <w:rPr>
                <w:rFonts w:ascii="Verdana" w:eastAsia="Times New Roman" w:hAnsi="Verdana" w:cs="Times New Roman"/>
                <w:color w:val="3E3E3E"/>
                <w:sz w:val="24"/>
                <w:szCs w:val="24"/>
                <w:lang w:eastAsia="en-IN"/>
              </w:rPr>
              <w:t>(</w:t>
            </w:r>
            <w:r w:rsidRPr="001A3A85">
              <w:rPr>
                <w:rFonts w:ascii="Verdana" w:eastAsia="Times New Roman" w:hAnsi="Verdana" w:cs="Times New Roman"/>
                <w:i/>
                <w:iCs/>
                <w:color w:val="3E3E3E"/>
                <w:sz w:val="24"/>
                <w:szCs w:val="24"/>
                <w:lang w:eastAsia="en-IN"/>
              </w:rPr>
              <w:t>4</w:t>
            </w:r>
            <w:r w:rsidRPr="001A3A85">
              <w:rPr>
                <w:rFonts w:ascii="Verdana" w:eastAsia="Times New Roman" w:hAnsi="Verdana" w:cs="Times New Roman"/>
                <w:color w:val="3E3E3E"/>
                <w:sz w:val="24"/>
                <w:szCs w:val="24"/>
                <w:lang w:eastAsia="en-IN"/>
              </w:rPr>
              <w:t>)</w:t>
            </w:r>
          </w:p>
        </w:tc>
        <w:tc>
          <w:tcPr>
            <w:tcW w:w="0" w:type="auto"/>
            <w:tcBorders>
              <w:top w:val="single" w:sz="2" w:space="0" w:color="FFFFFF"/>
              <w:right w:val="single" w:sz="2" w:space="0" w:color="FFFFFF"/>
            </w:tcBorders>
            <w:hideMark/>
          </w:tcPr>
          <w:p w14:paraId="31B029ED" w14:textId="77777777" w:rsidR="00C176C1" w:rsidRPr="001A3A85" w:rsidRDefault="00C176C1" w:rsidP="00C176C1">
            <w:pPr>
              <w:spacing w:after="0" w:line="240" w:lineRule="auto"/>
              <w:jc w:val="both"/>
              <w:rPr>
                <w:rFonts w:ascii="Verdana" w:eastAsia="Times New Roman" w:hAnsi="Verdana" w:cs="Times New Roman"/>
                <w:color w:val="3E3E3E"/>
                <w:sz w:val="24"/>
                <w:szCs w:val="24"/>
                <w:lang w:eastAsia="en-IN"/>
              </w:rPr>
            </w:pPr>
            <w:r w:rsidRPr="001A3A85">
              <w:rPr>
                <w:rFonts w:ascii="Verdana" w:eastAsia="Times New Roman" w:hAnsi="Verdana" w:cs="Times New Roman"/>
                <w:color w:val="3E3E3E"/>
                <w:sz w:val="24"/>
                <w:szCs w:val="24"/>
                <w:lang w:eastAsia="en-IN"/>
              </w:rPr>
              <w:t> </w:t>
            </w:r>
          </w:p>
        </w:tc>
        <w:tc>
          <w:tcPr>
            <w:tcW w:w="0" w:type="auto"/>
          </w:tcPr>
          <w:p w14:paraId="4E454050" w14:textId="05F053B8" w:rsidR="00C176C1" w:rsidRPr="001A3A85" w:rsidRDefault="00C176C1" w:rsidP="00C176C1">
            <w:pPr>
              <w:spacing w:after="0" w:line="240" w:lineRule="auto"/>
              <w:jc w:val="both"/>
              <w:rPr>
                <w:rFonts w:ascii="Verdana" w:eastAsia="Times New Roman" w:hAnsi="Verdana" w:cs="Times New Roman"/>
                <w:color w:val="3E3E3E"/>
                <w:sz w:val="24"/>
                <w:szCs w:val="24"/>
                <w:lang w:eastAsia="en-IN"/>
              </w:rPr>
            </w:pPr>
            <w:r w:rsidRPr="001A3A85">
              <w:rPr>
                <w:rFonts w:ascii="Verdana" w:eastAsia="Times New Roman" w:hAnsi="Verdana" w:cs="Times New Roman"/>
                <w:color w:val="3E3E3E"/>
                <w:sz w:val="24"/>
                <w:szCs w:val="24"/>
                <w:lang w:eastAsia="en-IN"/>
              </w:rPr>
              <w:t>…</w:t>
            </w:r>
          </w:p>
        </w:tc>
      </w:tr>
      <w:tr w:rsidR="00C176C1" w:rsidRPr="001A3A85" w14:paraId="39CAE76A" w14:textId="77777777" w:rsidTr="00C176C1">
        <w:trPr>
          <w:tblCellSpacing w:w="15" w:type="dxa"/>
        </w:trPr>
        <w:tc>
          <w:tcPr>
            <w:tcW w:w="705" w:type="dxa"/>
            <w:tcBorders>
              <w:top w:val="single" w:sz="2" w:space="0" w:color="FFFFFF"/>
              <w:right w:val="single" w:sz="2" w:space="0" w:color="FFFFFF"/>
            </w:tcBorders>
            <w:noWrap/>
            <w:hideMark/>
          </w:tcPr>
          <w:p w14:paraId="7A10D123" w14:textId="77777777" w:rsidR="00C176C1" w:rsidRPr="001A3A85" w:rsidRDefault="00C176C1" w:rsidP="00C176C1">
            <w:pPr>
              <w:spacing w:after="0" w:line="240" w:lineRule="auto"/>
              <w:jc w:val="right"/>
              <w:rPr>
                <w:rFonts w:ascii="Verdana" w:eastAsia="Times New Roman" w:hAnsi="Verdana" w:cs="Times New Roman"/>
                <w:color w:val="3E3E3E"/>
                <w:sz w:val="24"/>
                <w:szCs w:val="24"/>
                <w:lang w:eastAsia="en-IN"/>
              </w:rPr>
            </w:pPr>
            <w:r w:rsidRPr="001A3A85">
              <w:rPr>
                <w:rFonts w:ascii="Verdana" w:eastAsia="Times New Roman" w:hAnsi="Verdana" w:cs="Times New Roman"/>
                <w:color w:val="3E3E3E"/>
                <w:sz w:val="24"/>
                <w:szCs w:val="24"/>
                <w:lang w:eastAsia="en-IN"/>
              </w:rPr>
              <w:t>(</w:t>
            </w:r>
            <w:r w:rsidRPr="001A3A85">
              <w:rPr>
                <w:rFonts w:ascii="Verdana" w:eastAsia="Times New Roman" w:hAnsi="Verdana" w:cs="Times New Roman"/>
                <w:i/>
                <w:iCs/>
                <w:color w:val="3E3E3E"/>
                <w:sz w:val="24"/>
                <w:szCs w:val="24"/>
                <w:lang w:eastAsia="en-IN"/>
              </w:rPr>
              <w:t>5</w:t>
            </w:r>
            <w:r w:rsidRPr="001A3A85">
              <w:rPr>
                <w:rFonts w:ascii="Verdana" w:eastAsia="Times New Roman" w:hAnsi="Verdana" w:cs="Times New Roman"/>
                <w:color w:val="3E3E3E"/>
                <w:sz w:val="24"/>
                <w:szCs w:val="24"/>
                <w:lang w:eastAsia="en-IN"/>
              </w:rPr>
              <w:t>)</w:t>
            </w:r>
          </w:p>
        </w:tc>
        <w:tc>
          <w:tcPr>
            <w:tcW w:w="0" w:type="auto"/>
            <w:tcBorders>
              <w:top w:val="single" w:sz="2" w:space="0" w:color="FFFFFF"/>
              <w:right w:val="single" w:sz="2" w:space="0" w:color="FFFFFF"/>
            </w:tcBorders>
            <w:hideMark/>
          </w:tcPr>
          <w:p w14:paraId="72341330" w14:textId="77777777" w:rsidR="00C176C1" w:rsidRPr="001A3A85" w:rsidRDefault="00C176C1" w:rsidP="00C176C1">
            <w:pPr>
              <w:spacing w:after="0" w:line="240" w:lineRule="auto"/>
              <w:jc w:val="both"/>
              <w:rPr>
                <w:rFonts w:ascii="Verdana" w:eastAsia="Times New Roman" w:hAnsi="Verdana" w:cs="Times New Roman"/>
                <w:color w:val="3E3E3E"/>
                <w:sz w:val="24"/>
                <w:szCs w:val="24"/>
                <w:lang w:eastAsia="en-IN"/>
              </w:rPr>
            </w:pPr>
            <w:r w:rsidRPr="001A3A85">
              <w:rPr>
                <w:rFonts w:ascii="Verdana" w:eastAsia="Times New Roman" w:hAnsi="Verdana" w:cs="Times New Roman"/>
                <w:color w:val="3E3E3E"/>
                <w:sz w:val="24"/>
                <w:szCs w:val="24"/>
                <w:lang w:eastAsia="en-IN"/>
              </w:rPr>
              <w:t> </w:t>
            </w:r>
          </w:p>
        </w:tc>
        <w:tc>
          <w:tcPr>
            <w:tcW w:w="0" w:type="auto"/>
          </w:tcPr>
          <w:p w14:paraId="52D112CB" w14:textId="4A834AED" w:rsidR="00C176C1" w:rsidRPr="001A3A85" w:rsidRDefault="00C176C1" w:rsidP="00C176C1">
            <w:pPr>
              <w:spacing w:after="0" w:line="240" w:lineRule="auto"/>
              <w:jc w:val="both"/>
              <w:rPr>
                <w:rFonts w:ascii="Verdana" w:eastAsia="Times New Roman" w:hAnsi="Verdana" w:cs="Times New Roman"/>
                <w:color w:val="3E3E3E"/>
                <w:sz w:val="24"/>
                <w:szCs w:val="24"/>
                <w:lang w:eastAsia="en-IN"/>
              </w:rPr>
            </w:pPr>
            <w:r w:rsidRPr="001A3A85">
              <w:rPr>
                <w:rFonts w:ascii="Verdana" w:eastAsia="Times New Roman" w:hAnsi="Verdana" w:cs="Times New Roman"/>
                <w:color w:val="3E3E3E"/>
                <w:sz w:val="24"/>
                <w:szCs w:val="24"/>
                <w:lang w:eastAsia="en-IN"/>
              </w:rPr>
              <w:t>…</w:t>
            </w:r>
          </w:p>
        </w:tc>
      </w:tr>
      <w:tr w:rsidR="00C176C1" w:rsidRPr="001A3A85" w14:paraId="71F8A97F" w14:textId="77777777" w:rsidTr="00C176C1">
        <w:trPr>
          <w:tblCellSpacing w:w="15" w:type="dxa"/>
        </w:trPr>
        <w:tc>
          <w:tcPr>
            <w:tcW w:w="705" w:type="dxa"/>
            <w:tcBorders>
              <w:top w:val="single" w:sz="2" w:space="0" w:color="FFFFFF"/>
              <w:right w:val="single" w:sz="2" w:space="0" w:color="FFFFFF"/>
            </w:tcBorders>
            <w:noWrap/>
            <w:hideMark/>
          </w:tcPr>
          <w:p w14:paraId="381C960A" w14:textId="77777777" w:rsidR="00C176C1" w:rsidRPr="001A3A85" w:rsidRDefault="00C176C1" w:rsidP="00C176C1">
            <w:pPr>
              <w:spacing w:after="0" w:line="240" w:lineRule="auto"/>
              <w:jc w:val="right"/>
              <w:rPr>
                <w:rFonts w:ascii="Verdana" w:eastAsia="Times New Roman" w:hAnsi="Verdana" w:cs="Times New Roman"/>
                <w:color w:val="3E3E3E"/>
                <w:sz w:val="24"/>
                <w:szCs w:val="24"/>
                <w:lang w:eastAsia="en-IN"/>
              </w:rPr>
            </w:pPr>
            <w:r w:rsidRPr="001A3A85">
              <w:rPr>
                <w:rFonts w:ascii="Verdana" w:eastAsia="Times New Roman" w:hAnsi="Verdana" w:cs="Times New Roman"/>
                <w:color w:val="3E3E3E"/>
                <w:sz w:val="24"/>
                <w:szCs w:val="24"/>
                <w:lang w:eastAsia="en-IN"/>
              </w:rPr>
              <w:t>(</w:t>
            </w:r>
            <w:r w:rsidRPr="001A3A85">
              <w:rPr>
                <w:rFonts w:ascii="Verdana" w:eastAsia="Times New Roman" w:hAnsi="Verdana" w:cs="Times New Roman"/>
                <w:i/>
                <w:iCs/>
                <w:color w:val="3E3E3E"/>
                <w:sz w:val="24"/>
                <w:szCs w:val="24"/>
                <w:lang w:eastAsia="en-IN"/>
              </w:rPr>
              <w:t>6</w:t>
            </w:r>
            <w:r w:rsidRPr="001A3A85">
              <w:rPr>
                <w:rFonts w:ascii="Verdana" w:eastAsia="Times New Roman" w:hAnsi="Verdana" w:cs="Times New Roman"/>
                <w:color w:val="3E3E3E"/>
                <w:sz w:val="24"/>
                <w:szCs w:val="24"/>
                <w:lang w:eastAsia="en-IN"/>
              </w:rPr>
              <w:t>)</w:t>
            </w:r>
          </w:p>
        </w:tc>
        <w:tc>
          <w:tcPr>
            <w:tcW w:w="0" w:type="auto"/>
            <w:tcBorders>
              <w:top w:val="single" w:sz="2" w:space="0" w:color="FFFFFF"/>
              <w:right w:val="single" w:sz="2" w:space="0" w:color="FFFFFF"/>
            </w:tcBorders>
            <w:hideMark/>
          </w:tcPr>
          <w:p w14:paraId="3BB4D0E1" w14:textId="77777777" w:rsidR="00C176C1" w:rsidRPr="001A3A85" w:rsidRDefault="00C176C1" w:rsidP="00C176C1">
            <w:pPr>
              <w:spacing w:after="0" w:line="240" w:lineRule="auto"/>
              <w:jc w:val="both"/>
              <w:rPr>
                <w:rFonts w:ascii="Verdana" w:eastAsia="Times New Roman" w:hAnsi="Verdana" w:cs="Times New Roman"/>
                <w:color w:val="3E3E3E"/>
                <w:sz w:val="24"/>
                <w:szCs w:val="24"/>
                <w:lang w:eastAsia="en-IN"/>
              </w:rPr>
            </w:pPr>
            <w:r w:rsidRPr="001A3A85">
              <w:rPr>
                <w:rFonts w:ascii="Verdana" w:eastAsia="Times New Roman" w:hAnsi="Verdana" w:cs="Times New Roman"/>
                <w:color w:val="3E3E3E"/>
                <w:sz w:val="24"/>
                <w:szCs w:val="24"/>
                <w:lang w:eastAsia="en-IN"/>
              </w:rPr>
              <w:t> </w:t>
            </w:r>
          </w:p>
        </w:tc>
        <w:tc>
          <w:tcPr>
            <w:tcW w:w="0" w:type="auto"/>
            <w:hideMark/>
          </w:tcPr>
          <w:p w14:paraId="22BE1A03" w14:textId="4E6144AB" w:rsidR="00C176C1" w:rsidRPr="001A3A85" w:rsidRDefault="00C176C1" w:rsidP="00C176C1">
            <w:pPr>
              <w:spacing w:after="0" w:line="240" w:lineRule="auto"/>
              <w:jc w:val="both"/>
              <w:rPr>
                <w:rFonts w:ascii="Verdana" w:eastAsia="Times New Roman" w:hAnsi="Verdana" w:cs="Times New Roman"/>
                <w:color w:val="3E3E3E"/>
                <w:sz w:val="24"/>
                <w:szCs w:val="24"/>
                <w:lang w:eastAsia="en-IN"/>
              </w:rPr>
            </w:pPr>
            <w:r w:rsidRPr="001A3A85">
              <w:rPr>
                <w:rFonts w:ascii="Verdana" w:eastAsia="Times New Roman" w:hAnsi="Verdana" w:cs="Times New Roman"/>
                <w:color w:val="3E3E3E"/>
                <w:sz w:val="24"/>
                <w:szCs w:val="24"/>
                <w:lang w:eastAsia="en-IN"/>
              </w:rPr>
              <w:t>require any person, including a banking company or any officer thereof, to furnish information in relation to such points or matters, or to furnish statements of accounts and affairs verified in the manner specified by the Assessing Officer, the Deputy Commissioner (Appeals), the Joint Commissioner or the Commissioner (Appeals), giving information in relation to such points or matters as, in the opinion of the Assessing Officer, the  Deputy Commissioner (Appeals) , the  Joint Commissioner or the Commissioner (Appeals), will be useful for, or relevant to, any enquiry or proceeding</w:t>
            </w:r>
            <w:hyperlink r:id="rId7" w:history="1"/>
            <w:r w:rsidRPr="001A3A85">
              <w:rPr>
                <w:rFonts w:ascii="Verdana" w:eastAsia="Times New Roman" w:hAnsi="Verdana" w:cs="Times New Roman"/>
                <w:color w:val="3E3E3E"/>
                <w:sz w:val="24"/>
                <w:szCs w:val="24"/>
                <w:lang w:eastAsia="en-IN"/>
              </w:rPr>
              <w:t> under this Act :</w:t>
            </w:r>
          </w:p>
        </w:tc>
      </w:tr>
    </w:tbl>
    <w:p w14:paraId="6B8B671E" w14:textId="503E644B" w:rsidR="00C176C1" w:rsidRPr="001A3A85" w:rsidRDefault="00C176C1" w:rsidP="001A3A85">
      <w:pPr>
        <w:shd w:val="clear" w:color="auto" w:fill="FFFFFF"/>
        <w:spacing w:after="80" w:line="240" w:lineRule="auto"/>
        <w:ind w:left="720" w:right="360"/>
        <w:jc w:val="both"/>
        <w:rPr>
          <w:rFonts w:ascii="Verdana" w:eastAsia="Times New Roman" w:hAnsi="Verdana" w:cs="Times New Roman"/>
          <w:sz w:val="24"/>
          <w:szCs w:val="24"/>
          <w:lang w:eastAsia="en-IN"/>
        </w:rPr>
      </w:pPr>
      <w:r w:rsidRPr="001A3A85">
        <w:rPr>
          <w:rFonts w:ascii="Verdana" w:eastAsia="Times New Roman" w:hAnsi="Verdana" w:cs="Times New Roman"/>
          <w:b/>
          <w:bCs/>
          <w:sz w:val="24"/>
          <w:szCs w:val="24"/>
          <w:lang w:eastAsia="en-IN"/>
        </w:rPr>
        <w:t>Provided</w:t>
      </w:r>
      <w:r w:rsidRPr="001A3A85">
        <w:rPr>
          <w:rFonts w:ascii="Verdana" w:eastAsia="Times New Roman" w:hAnsi="Verdana" w:cs="Times New Roman"/>
          <w:sz w:val="24"/>
          <w:szCs w:val="24"/>
          <w:lang w:eastAsia="en-IN"/>
        </w:rPr>
        <w:t> that the powers referred to in clause (</w:t>
      </w:r>
      <w:r w:rsidRPr="001A3A85">
        <w:rPr>
          <w:rFonts w:ascii="Verdana" w:eastAsia="Times New Roman" w:hAnsi="Verdana" w:cs="Times New Roman"/>
          <w:i/>
          <w:iCs/>
          <w:sz w:val="24"/>
          <w:szCs w:val="24"/>
          <w:lang w:eastAsia="en-IN"/>
        </w:rPr>
        <w:t>6</w:t>
      </w:r>
      <w:r w:rsidRPr="001A3A85">
        <w:rPr>
          <w:rFonts w:ascii="Verdana" w:eastAsia="Times New Roman" w:hAnsi="Verdana" w:cs="Times New Roman"/>
          <w:sz w:val="24"/>
          <w:szCs w:val="24"/>
          <w:lang w:eastAsia="en-IN"/>
        </w:rPr>
        <w:t>), may also be exercised by the Principal Director General or Director-General, the Principal Chief Commissioner or Chief Commissioner, the Principal Director or Director or the Principal Commissioner or Commissioner or the Joint Director or Deputy Director or Assistant Director:</w:t>
      </w:r>
    </w:p>
    <w:p w14:paraId="5DFFDF03" w14:textId="261CE486" w:rsidR="00C176C1" w:rsidRPr="001A3A85" w:rsidRDefault="00C176C1" w:rsidP="001A3A85">
      <w:pPr>
        <w:shd w:val="clear" w:color="auto" w:fill="FFFFFF"/>
        <w:spacing w:after="80" w:line="240" w:lineRule="auto"/>
        <w:ind w:left="720" w:right="360"/>
        <w:jc w:val="both"/>
        <w:rPr>
          <w:rFonts w:ascii="Verdana" w:eastAsia="Times New Roman" w:hAnsi="Verdana" w:cs="Times New Roman"/>
          <w:sz w:val="24"/>
          <w:szCs w:val="24"/>
          <w:lang w:eastAsia="en-IN"/>
        </w:rPr>
      </w:pPr>
      <w:r w:rsidRPr="00E27C67">
        <w:rPr>
          <w:rFonts w:ascii="Verdana" w:eastAsia="Times New Roman" w:hAnsi="Verdana" w:cs="Times New Roman"/>
          <w:b/>
          <w:bCs/>
          <w:i/>
          <w:sz w:val="24"/>
          <w:szCs w:val="24"/>
          <w:u w:val="single"/>
          <w:lang w:eastAsia="en-IN"/>
        </w:rPr>
        <w:t>Provided further</w:t>
      </w:r>
      <w:r w:rsidRPr="00E27C67">
        <w:rPr>
          <w:rFonts w:ascii="Verdana" w:eastAsia="Times New Roman" w:hAnsi="Verdana" w:cs="Times New Roman"/>
          <w:b/>
          <w:i/>
          <w:sz w:val="24"/>
          <w:szCs w:val="24"/>
          <w:u w:val="single"/>
          <w:lang w:eastAsia="en-IN"/>
        </w:rPr>
        <w:t xml:space="preserve"> that the power in respect of an inquiry, in a case where no proceeding is pending, shall not be exercised by any income-tax authority below the rank of Principal Director or Director or Principal Commissioner or </w:t>
      </w:r>
      <w:r w:rsidR="001A3A85" w:rsidRPr="00E27C67">
        <w:rPr>
          <w:rFonts w:ascii="Verdana" w:eastAsia="Times New Roman" w:hAnsi="Verdana" w:cs="Times New Roman"/>
          <w:b/>
          <w:i/>
          <w:sz w:val="24"/>
          <w:szCs w:val="24"/>
          <w:u w:val="single"/>
          <w:lang w:eastAsia="en-IN"/>
        </w:rPr>
        <w:t>Commissioner,</w:t>
      </w:r>
      <w:r w:rsidRPr="00E27C67">
        <w:rPr>
          <w:rFonts w:ascii="Verdana" w:eastAsia="Times New Roman" w:hAnsi="Verdana" w:cs="Times New Roman"/>
          <w:b/>
          <w:i/>
          <w:sz w:val="24"/>
          <w:szCs w:val="24"/>
          <w:u w:val="single"/>
          <w:lang w:eastAsia="en-IN"/>
        </w:rPr>
        <w:t xml:space="preserve"> other than the Joint Director or Deputy Director or Assistant Director, without the prior approval of the Principal Director or Director or, as the case may be, the Principal Commissioner or </w:t>
      </w:r>
      <w:r w:rsidR="001A3A85" w:rsidRPr="00E27C67">
        <w:rPr>
          <w:rFonts w:ascii="Verdana" w:eastAsia="Times New Roman" w:hAnsi="Verdana" w:cs="Times New Roman"/>
          <w:b/>
          <w:i/>
          <w:sz w:val="24"/>
          <w:szCs w:val="24"/>
          <w:u w:val="single"/>
          <w:lang w:eastAsia="en-IN"/>
        </w:rPr>
        <w:t>Commissioner:</w:t>
      </w:r>
      <w:r w:rsidR="001A3A85" w:rsidRPr="00E27C67">
        <w:rPr>
          <w:rFonts w:ascii="Verdana" w:eastAsia="Times New Roman" w:hAnsi="Verdana" w:cs="Times New Roman"/>
          <w:b/>
          <w:sz w:val="24"/>
          <w:szCs w:val="24"/>
          <w:u w:val="single"/>
          <w:lang w:eastAsia="en-IN"/>
        </w:rPr>
        <w:t xml:space="preserve"> </w:t>
      </w:r>
      <w:r w:rsidR="001A3A85" w:rsidRPr="001A3A85">
        <w:rPr>
          <w:rFonts w:ascii="Verdana" w:eastAsia="Times New Roman" w:hAnsi="Verdana" w:cs="Times New Roman"/>
          <w:sz w:val="24"/>
          <w:szCs w:val="24"/>
          <w:lang w:eastAsia="en-IN"/>
        </w:rPr>
        <w:t>[</w:t>
      </w:r>
      <w:r w:rsidR="00C05F89" w:rsidRPr="001A3A85">
        <w:rPr>
          <w:rFonts w:ascii="Verdana" w:eastAsia="Times New Roman" w:hAnsi="Verdana" w:cs="Times New Roman"/>
          <w:sz w:val="24"/>
          <w:szCs w:val="24"/>
          <w:lang w:eastAsia="en-IN"/>
        </w:rPr>
        <w:t>Emphasis supplied]</w:t>
      </w:r>
    </w:p>
    <w:p w14:paraId="729076EC" w14:textId="77777777" w:rsidR="00E27C67" w:rsidRDefault="00C176C1" w:rsidP="001A3A85">
      <w:pPr>
        <w:shd w:val="clear" w:color="auto" w:fill="FFFFFF"/>
        <w:spacing w:line="240" w:lineRule="auto"/>
        <w:ind w:left="360" w:right="360" w:firstLine="360"/>
        <w:jc w:val="both"/>
        <w:rPr>
          <w:rFonts w:ascii="Verdana" w:eastAsia="Times New Roman" w:hAnsi="Verdana" w:cs="Arial"/>
          <w:color w:val="FFFFFF"/>
          <w:kern w:val="36"/>
          <w:sz w:val="24"/>
          <w:szCs w:val="24"/>
          <w:lang w:eastAsia="en-IN"/>
        </w:rPr>
      </w:pPr>
      <w:r w:rsidRPr="001A3A85">
        <w:rPr>
          <w:rFonts w:ascii="Verdana" w:eastAsia="Times New Roman" w:hAnsi="Verdana" w:cs="Times New Roman"/>
          <w:b/>
          <w:bCs/>
          <w:sz w:val="24"/>
          <w:szCs w:val="24"/>
          <w:lang w:eastAsia="en-IN"/>
        </w:rPr>
        <w:t>Provided also …………</w:t>
      </w:r>
      <w:r w:rsidRPr="001A3A85">
        <w:rPr>
          <w:rFonts w:ascii="Verdana" w:eastAsia="Times New Roman" w:hAnsi="Verdana" w:cs="Arial"/>
          <w:color w:val="FFFFFF"/>
          <w:kern w:val="36"/>
          <w:sz w:val="24"/>
          <w:szCs w:val="24"/>
          <w:lang w:eastAsia="en-IN"/>
        </w:rPr>
        <w:t>e</w:t>
      </w:r>
    </w:p>
    <w:p w14:paraId="7329B8F2" w14:textId="3BEB2F5B" w:rsidR="00E27C67" w:rsidRDefault="00E27C67" w:rsidP="00E27C67">
      <w:pPr>
        <w:shd w:val="clear" w:color="auto" w:fill="FFFFFF"/>
        <w:spacing w:line="240" w:lineRule="auto"/>
        <w:ind w:left="720" w:right="360"/>
        <w:jc w:val="both"/>
        <w:rPr>
          <w:rFonts w:ascii="Verdana" w:eastAsia="Times New Roman" w:hAnsi="Verdana" w:cs="Times New Roman"/>
          <w:bCs/>
          <w:sz w:val="24"/>
          <w:szCs w:val="24"/>
          <w:lang w:eastAsia="en-IN"/>
        </w:rPr>
      </w:pPr>
      <w:r w:rsidRPr="00E27C67">
        <w:rPr>
          <w:rFonts w:ascii="Verdana" w:eastAsia="Times New Roman" w:hAnsi="Verdana" w:cs="Times New Roman"/>
          <w:bCs/>
          <w:sz w:val="24"/>
          <w:szCs w:val="24"/>
          <w:lang w:eastAsia="en-IN"/>
        </w:rPr>
        <w:t>As</w:t>
      </w:r>
      <w:r>
        <w:rPr>
          <w:rFonts w:ascii="Verdana" w:eastAsia="Times New Roman" w:hAnsi="Verdana" w:cs="Times New Roman"/>
          <w:bCs/>
          <w:sz w:val="24"/>
          <w:szCs w:val="24"/>
          <w:lang w:eastAsia="en-IN"/>
        </w:rPr>
        <w:t xml:space="preserve"> can be seen from the provision extracted and emphasised above, that where no proceeding is pending </w:t>
      </w:r>
      <w:r w:rsidR="00CA3CE2">
        <w:rPr>
          <w:rFonts w:ascii="Verdana" w:eastAsia="Times New Roman" w:hAnsi="Verdana" w:cs="Times New Roman"/>
          <w:bCs/>
          <w:sz w:val="24"/>
          <w:szCs w:val="24"/>
          <w:lang w:eastAsia="en-IN"/>
        </w:rPr>
        <w:t xml:space="preserve">before an </w:t>
      </w:r>
      <w:r>
        <w:rPr>
          <w:rFonts w:ascii="Verdana" w:eastAsia="Times New Roman" w:hAnsi="Verdana" w:cs="Times New Roman"/>
          <w:bCs/>
          <w:sz w:val="24"/>
          <w:szCs w:val="24"/>
          <w:lang w:eastAsia="en-IN"/>
        </w:rPr>
        <w:t>AO</w:t>
      </w:r>
      <w:r w:rsidR="00070A74">
        <w:rPr>
          <w:rFonts w:ascii="Verdana" w:eastAsia="Times New Roman" w:hAnsi="Verdana" w:cs="Times New Roman"/>
          <w:bCs/>
          <w:sz w:val="24"/>
          <w:szCs w:val="24"/>
          <w:lang w:eastAsia="en-IN"/>
        </w:rPr>
        <w:t xml:space="preserve"> </w:t>
      </w:r>
      <w:r>
        <w:rPr>
          <w:rFonts w:ascii="Verdana" w:eastAsia="Times New Roman" w:hAnsi="Verdana" w:cs="Times New Roman"/>
          <w:bCs/>
          <w:sz w:val="24"/>
          <w:szCs w:val="24"/>
          <w:lang w:eastAsia="en-IN"/>
        </w:rPr>
        <w:t xml:space="preserve">below the rank of </w:t>
      </w:r>
      <w:bookmarkStart w:id="6" w:name="_Hlk19308045"/>
      <w:r>
        <w:rPr>
          <w:rFonts w:ascii="Verdana" w:eastAsia="Times New Roman" w:hAnsi="Verdana" w:cs="Times New Roman"/>
          <w:bCs/>
          <w:sz w:val="24"/>
          <w:szCs w:val="24"/>
          <w:lang w:eastAsia="en-IN"/>
        </w:rPr>
        <w:t>Principal Commissioner/Commissioner</w:t>
      </w:r>
      <w:bookmarkEnd w:id="6"/>
      <w:r w:rsidR="00CA3CE2">
        <w:rPr>
          <w:rFonts w:ascii="Verdana" w:eastAsia="Times New Roman" w:hAnsi="Verdana" w:cs="Times New Roman"/>
          <w:bCs/>
          <w:sz w:val="24"/>
          <w:szCs w:val="24"/>
          <w:lang w:eastAsia="en-IN"/>
        </w:rPr>
        <w:t>, he</w:t>
      </w:r>
      <w:r>
        <w:rPr>
          <w:rFonts w:ascii="Verdana" w:eastAsia="Times New Roman" w:hAnsi="Verdana" w:cs="Times New Roman"/>
          <w:bCs/>
          <w:sz w:val="24"/>
          <w:szCs w:val="24"/>
          <w:lang w:eastAsia="en-IN"/>
        </w:rPr>
        <w:t xml:space="preserve"> cannot make</w:t>
      </w:r>
      <w:r w:rsidR="00CA3CE2">
        <w:rPr>
          <w:rFonts w:ascii="Verdana" w:eastAsia="Times New Roman" w:hAnsi="Verdana" w:cs="Times New Roman"/>
          <w:bCs/>
          <w:sz w:val="24"/>
          <w:szCs w:val="24"/>
          <w:lang w:eastAsia="en-IN"/>
        </w:rPr>
        <w:t xml:space="preserve"> any</w:t>
      </w:r>
      <w:r>
        <w:rPr>
          <w:rFonts w:ascii="Verdana" w:eastAsia="Times New Roman" w:hAnsi="Verdana" w:cs="Times New Roman"/>
          <w:bCs/>
          <w:sz w:val="24"/>
          <w:szCs w:val="24"/>
          <w:lang w:eastAsia="en-IN"/>
        </w:rPr>
        <w:t xml:space="preserve"> inquiry under the section unless prior approval is obtained from the concerned Principal Commissioner/Commissioner.</w:t>
      </w:r>
    </w:p>
    <w:p w14:paraId="2645A2DA" w14:textId="343B52A5" w:rsidR="003C4A7C" w:rsidRDefault="00E27C67" w:rsidP="00E27C67">
      <w:pPr>
        <w:shd w:val="clear" w:color="auto" w:fill="FFFFFF"/>
        <w:spacing w:line="240" w:lineRule="auto"/>
        <w:ind w:left="720" w:right="360"/>
        <w:jc w:val="both"/>
        <w:rPr>
          <w:rFonts w:ascii="Verdana" w:eastAsia="Times New Roman" w:hAnsi="Verdana" w:cs="Times New Roman"/>
          <w:bCs/>
          <w:sz w:val="24"/>
          <w:szCs w:val="24"/>
          <w:lang w:eastAsia="en-IN"/>
        </w:rPr>
      </w:pPr>
      <w:r>
        <w:rPr>
          <w:rFonts w:ascii="Verdana" w:eastAsia="Times New Roman" w:hAnsi="Verdana" w:cs="Times New Roman"/>
          <w:bCs/>
          <w:sz w:val="24"/>
          <w:szCs w:val="24"/>
          <w:lang w:eastAsia="en-IN"/>
        </w:rPr>
        <w:t>In the case of the Applicants</w:t>
      </w:r>
      <w:r w:rsidR="00070A74">
        <w:rPr>
          <w:rFonts w:ascii="Verdana" w:eastAsia="Times New Roman" w:hAnsi="Verdana" w:cs="Times New Roman"/>
          <w:bCs/>
          <w:sz w:val="24"/>
          <w:szCs w:val="24"/>
          <w:lang w:eastAsia="en-IN"/>
        </w:rPr>
        <w:t>,</w:t>
      </w:r>
      <w:r>
        <w:rPr>
          <w:rFonts w:ascii="Verdana" w:eastAsia="Times New Roman" w:hAnsi="Verdana" w:cs="Times New Roman"/>
          <w:bCs/>
          <w:sz w:val="24"/>
          <w:szCs w:val="24"/>
          <w:lang w:eastAsia="en-IN"/>
        </w:rPr>
        <w:t xml:space="preserve"> since no return was filed prior to the filing of </w:t>
      </w:r>
      <w:r w:rsidR="00F4182A">
        <w:rPr>
          <w:rFonts w:ascii="Verdana" w:eastAsia="Times New Roman" w:hAnsi="Verdana" w:cs="Times New Roman"/>
          <w:bCs/>
          <w:sz w:val="24"/>
          <w:szCs w:val="24"/>
          <w:lang w:eastAsia="en-IN"/>
        </w:rPr>
        <w:t>applications for intervention on 24.05.2011 as well the present applications in September, 2012 under section 245Q (1) of the Act,</w:t>
      </w:r>
      <w:r>
        <w:rPr>
          <w:rFonts w:ascii="Verdana" w:eastAsia="Times New Roman" w:hAnsi="Verdana" w:cs="Times New Roman"/>
          <w:bCs/>
          <w:sz w:val="24"/>
          <w:szCs w:val="24"/>
          <w:lang w:eastAsia="en-IN"/>
        </w:rPr>
        <w:t xml:space="preserve"> the AO </w:t>
      </w:r>
      <w:r w:rsidR="00070A74">
        <w:rPr>
          <w:rFonts w:ascii="Verdana" w:eastAsia="Times New Roman" w:hAnsi="Verdana" w:cs="Times New Roman"/>
          <w:bCs/>
          <w:sz w:val="24"/>
          <w:szCs w:val="24"/>
          <w:lang w:eastAsia="en-IN"/>
        </w:rPr>
        <w:t xml:space="preserve">could not have made </w:t>
      </w:r>
      <w:r w:rsidR="00F4182A">
        <w:rPr>
          <w:rFonts w:ascii="Verdana" w:eastAsia="Times New Roman" w:hAnsi="Verdana" w:cs="Times New Roman"/>
          <w:bCs/>
          <w:sz w:val="24"/>
          <w:szCs w:val="24"/>
          <w:lang w:eastAsia="en-IN"/>
        </w:rPr>
        <w:t xml:space="preserve">any </w:t>
      </w:r>
      <w:r w:rsidR="00070A74">
        <w:rPr>
          <w:rFonts w:ascii="Verdana" w:eastAsia="Times New Roman" w:hAnsi="Verdana" w:cs="Times New Roman"/>
          <w:bCs/>
          <w:sz w:val="24"/>
          <w:szCs w:val="24"/>
          <w:lang w:eastAsia="en-IN"/>
        </w:rPr>
        <w:t>enquiry under</w:t>
      </w:r>
      <w:r w:rsidR="00F4182A">
        <w:rPr>
          <w:rFonts w:ascii="Verdana" w:eastAsia="Times New Roman" w:hAnsi="Verdana" w:cs="Times New Roman"/>
          <w:bCs/>
          <w:sz w:val="24"/>
          <w:szCs w:val="24"/>
          <w:lang w:eastAsia="en-IN"/>
        </w:rPr>
        <w:t xml:space="preserve"> </w:t>
      </w:r>
      <w:r w:rsidR="00070A74">
        <w:rPr>
          <w:rFonts w:ascii="Verdana" w:eastAsia="Times New Roman" w:hAnsi="Verdana" w:cs="Times New Roman"/>
          <w:bCs/>
          <w:sz w:val="24"/>
          <w:szCs w:val="24"/>
          <w:lang w:eastAsia="en-IN"/>
        </w:rPr>
        <w:t xml:space="preserve">section 133 (6) of the Act. To enable him to make enquiry, the reason which </w:t>
      </w:r>
      <w:r w:rsidR="00070A74">
        <w:rPr>
          <w:rFonts w:ascii="Verdana" w:eastAsia="Times New Roman" w:hAnsi="Verdana" w:cs="Times New Roman"/>
          <w:bCs/>
          <w:sz w:val="24"/>
          <w:szCs w:val="24"/>
          <w:lang w:eastAsia="en-IN"/>
        </w:rPr>
        <w:lastRenderedPageBreak/>
        <w:t xml:space="preserve">could be given by him related only to his satisfaction that from the payment to be made for </w:t>
      </w:r>
      <w:r w:rsidR="00D3333F">
        <w:rPr>
          <w:rFonts w:ascii="Verdana" w:eastAsia="Times New Roman" w:hAnsi="Verdana" w:cs="Times New Roman"/>
          <w:bCs/>
          <w:sz w:val="24"/>
          <w:szCs w:val="24"/>
          <w:lang w:eastAsia="en-IN"/>
        </w:rPr>
        <w:t>sale of shares of Vodafone Essar</w:t>
      </w:r>
      <w:r w:rsidR="00070A74">
        <w:rPr>
          <w:rFonts w:ascii="Verdana" w:eastAsia="Times New Roman" w:hAnsi="Verdana" w:cs="Times New Roman"/>
          <w:bCs/>
          <w:sz w:val="24"/>
          <w:szCs w:val="24"/>
          <w:lang w:eastAsia="en-IN"/>
        </w:rPr>
        <w:t xml:space="preserve"> Ltd, capital gains would be chargeable to tax in India and the satisfaction thereof would begin from the day when application was filed by EPSL in </w:t>
      </w:r>
      <w:r w:rsidR="00D3333F">
        <w:rPr>
          <w:rFonts w:ascii="Verdana" w:eastAsia="Times New Roman" w:hAnsi="Verdana" w:cs="Times New Roman"/>
          <w:bCs/>
          <w:sz w:val="24"/>
          <w:szCs w:val="24"/>
          <w:lang w:eastAsia="en-IN"/>
        </w:rPr>
        <w:t>August, 2010</w:t>
      </w:r>
      <w:r w:rsidR="00070A74">
        <w:rPr>
          <w:rFonts w:ascii="Verdana" w:eastAsia="Times New Roman" w:hAnsi="Verdana" w:cs="Times New Roman"/>
          <w:bCs/>
          <w:sz w:val="24"/>
          <w:szCs w:val="24"/>
          <w:lang w:eastAsia="en-IN"/>
        </w:rPr>
        <w:t xml:space="preserve"> and the AO became </w:t>
      </w:r>
      <w:r w:rsidR="00D3333F">
        <w:rPr>
          <w:rFonts w:ascii="Verdana" w:eastAsia="Times New Roman" w:hAnsi="Verdana" w:cs="Times New Roman"/>
          <w:bCs/>
          <w:sz w:val="24"/>
          <w:szCs w:val="24"/>
          <w:lang w:eastAsia="en-IN"/>
        </w:rPr>
        <w:t>a</w:t>
      </w:r>
      <w:r w:rsidR="00070A74">
        <w:rPr>
          <w:rFonts w:ascii="Verdana" w:eastAsia="Times New Roman" w:hAnsi="Verdana" w:cs="Times New Roman"/>
          <w:bCs/>
          <w:sz w:val="24"/>
          <w:szCs w:val="24"/>
          <w:lang w:eastAsia="en-IN"/>
        </w:rPr>
        <w:t xml:space="preserve">ware of this fact. More so, when in May, 2011, the present two applicants filed their application for intervention as prior to that the AO started making enquiries on those lines. It is inconceivable to think that AO’s enquiries were not directed towards that end as the chargeability of capital gains in the hands of the two applicants on sale of shares of Vodafone </w:t>
      </w:r>
      <w:r w:rsidR="007A0543">
        <w:rPr>
          <w:rFonts w:ascii="Verdana" w:eastAsia="Times New Roman" w:hAnsi="Verdana" w:cs="Times New Roman"/>
          <w:bCs/>
          <w:sz w:val="24"/>
          <w:szCs w:val="24"/>
          <w:lang w:eastAsia="en-IN"/>
        </w:rPr>
        <w:t>Essar</w:t>
      </w:r>
      <w:r w:rsidR="00DB5755">
        <w:rPr>
          <w:rFonts w:ascii="Verdana" w:eastAsia="Times New Roman" w:hAnsi="Verdana" w:cs="Times New Roman"/>
          <w:bCs/>
          <w:sz w:val="24"/>
          <w:szCs w:val="24"/>
          <w:lang w:eastAsia="en-IN"/>
        </w:rPr>
        <w:t xml:space="preserve"> Ltd to EPSL and the obligation of EPSL</w:t>
      </w:r>
      <w:r w:rsidR="00070A74">
        <w:rPr>
          <w:rFonts w:ascii="Verdana" w:eastAsia="Times New Roman" w:hAnsi="Verdana" w:cs="Times New Roman"/>
          <w:bCs/>
          <w:sz w:val="24"/>
          <w:szCs w:val="24"/>
          <w:lang w:eastAsia="en-IN"/>
        </w:rPr>
        <w:t xml:space="preserve"> </w:t>
      </w:r>
      <w:r w:rsidR="00DB5755">
        <w:rPr>
          <w:rFonts w:ascii="Verdana" w:eastAsia="Times New Roman" w:hAnsi="Verdana" w:cs="Times New Roman"/>
          <w:bCs/>
          <w:sz w:val="24"/>
          <w:szCs w:val="24"/>
          <w:lang w:eastAsia="en-IN"/>
        </w:rPr>
        <w:t>to deduct tax at source from the payment towards the sale consideration to the two applicants</w:t>
      </w:r>
      <w:r w:rsidR="009142B4">
        <w:rPr>
          <w:rFonts w:ascii="Verdana" w:eastAsia="Times New Roman" w:hAnsi="Verdana" w:cs="Times New Roman"/>
          <w:bCs/>
          <w:sz w:val="24"/>
          <w:szCs w:val="24"/>
          <w:lang w:eastAsia="en-IN"/>
        </w:rPr>
        <w:t>,</w:t>
      </w:r>
      <w:r w:rsidR="00DB5755">
        <w:rPr>
          <w:rFonts w:ascii="Verdana" w:eastAsia="Times New Roman" w:hAnsi="Verdana" w:cs="Times New Roman"/>
          <w:bCs/>
          <w:sz w:val="24"/>
          <w:szCs w:val="24"/>
          <w:lang w:eastAsia="en-IN"/>
        </w:rPr>
        <w:t xml:space="preserve"> were inextricably and intimately linked with this transaction. To argue that the AO did not indicate his </w:t>
      </w:r>
      <w:r w:rsidR="003C4A7C">
        <w:rPr>
          <w:rFonts w:ascii="Verdana" w:eastAsia="Times New Roman" w:hAnsi="Verdana" w:cs="Times New Roman"/>
          <w:bCs/>
          <w:sz w:val="24"/>
          <w:szCs w:val="24"/>
          <w:lang w:eastAsia="en-IN"/>
        </w:rPr>
        <w:t>intention to</w:t>
      </w:r>
      <w:r w:rsidR="00DB5755">
        <w:rPr>
          <w:rFonts w:ascii="Verdana" w:eastAsia="Times New Roman" w:hAnsi="Verdana" w:cs="Times New Roman"/>
          <w:bCs/>
          <w:sz w:val="24"/>
          <w:szCs w:val="24"/>
          <w:lang w:eastAsia="en-IN"/>
        </w:rPr>
        <w:t xml:space="preserve"> tax the capital gains in the hands of the two applicants in the notices issued under section 133 (6) of the Act, would be too naïve an argument to believe.</w:t>
      </w:r>
      <w:r w:rsidR="003C4A7C">
        <w:rPr>
          <w:rFonts w:ascii="Verdana" w:eastAsia="Times New Roman" w:hAnsi="Verdana" w:cs="Times New Roman"/>
          <w:bCs/>
          <w:sz w:val="24"/>
          <w:szCs w:val="24"/>
          <w:lang w:eastAsia="en-IN"/>
        </w:rPr>
        <w:t xml:space="preserve"> </w:t>
      </w:r>
    </w:p>
    <w:p w14:paraId="59D91457" w14:textId="3422BBCD" w:rsidR="000A66E9" w:rsidRDefault="003C4A7C" w:rsidP="00E27C67">
      <w:pPr>
        <w:shd w:val="clear" w:color="auto" w:fill="FFFFFF"/>
        <w:spacing w:line="240" w:lineRule="auto"/>
        <w:ind w:left="720" w:right="360"/>
        <w:jc w:val="both"/>
        <w:rPr>
          <w:rFonts w:ascii="Verdana" w:eastAsia="Times New Roman" w:hAnsi="Verdana" w:cs="Times New Roman"/>
          <w:bCs/>
          <w:sz w:val="24"/>
          <w:szCs w:val="24"/>
          <w:lang w:eastAsia="en-IN"/>
        </w:rPr>
      </w:pPr>
      <w:r>
        <w:rPr>
          <w:rFonts w:ascii="Verdana" w:eastAsia="Times New Roman" w:hAnsi="Verdana" w:cs="Times New Roman"/>
          <w:bCs/>
          <w:sz w:val="24"/>
          <w:szCs w:val="24"/>
          <w:lang w:eastAsia="en-IN"/>
        </w:rPr>
        <w:t>Item (i) to 1</w:t>
      </w:r>
      <w:r w:rsidRPr="003C4A7C">
        <w:rPr>
          <w:rFonts w:ascii="Verdana" w:eastAsia="Times New Roman" w:hAnsi="Verdana" w:cs="Times New Roman"/>
          <w:bCs/>
          <w:sz w:val="24"/>
          <w:szCs w:val="24"/>
          <w:vertAlign w:val="superscript"/>
          <w:lang w:eastAsia="en-IN"/>
        </w:rPr>
        <w:t>st</w:t>
      </w:r>
      <w:r>
        <w:rPr>
          <w:rFonts w:ascii="Verdana" w:eastAsia="Times New Roman" w:hAnsi="Verdana" w:cs="Times New Roman"/>
          <w:bCs/>
          <w:sz w:val="24"/>
          <w:szCs w:val="24"/>
          <w:lang w:eastAsia="en-IN"/>
        </w:rPr>
        <w:t xml:space="preserve"> Proviso of Section 245R of the Act works as a bar for Hon’ble Authority to allow the application made before it where the question raised in the application is already pending</w:t>
      </w:r>
      <w:r w:rsidR="000A66E9">
        <w:rPr>
          <w:rFonts w:ascii="Verdana" w:eastAsia="Times New Roman" w:hAnsi="Verdana" w:cs="Times New Roman"/>
          <w:bCs/>
          <w:sz w:val="24"/>
          <w:szCs w:val="24"/>
          <w:lang w:eastAsia="en-IN"/>
        </w:rPr>
        <w:t xml:space="preserve"> before any income-tax authority which includes an assessing officer. The term “Application” is defined in clause (c) of Section 245N as well in Rule 2(d) of the Authority Procedure Rules, 1996 which shall include where the context permits, all applications, petitions and representations of the nature referred to in Rule (5) of these Rules. Rule (5) has already been reproduced above. </w:t>
      </w:r>
      <w:r w:rsidR="00F43A2A">
        <w:rPr>
          <w:rFonts w:ascii="Verdana" w:eastAsia="Times New Roman" w:hAnsi="Verdana" w:cs="Times New Roman"/>
          <w:bCs/>
          <w:sz w:val="24"/>
          <w:szCs w:val="24"/>
          <w:lang w:eastAsia="en-IN"/>
        </w:rPr>
        <w:t>Therefore, at least since the time of filing of the applications of intervention on 24/05/2011, the question of the taxability of capital gains in the hand</w:t>
      </w:r>
      <w:r w:rsidR="009142B4">
        <w:rPr>
          <w:rFonts w:ascii="Verdana" w:eastAsia="Times New Roman" w:hAnsi="Verdana" w:cs="Times New Roman"/>
          <w:bCs/>
          <w:sz w:val="24"/>
          <w:szCs w:val="24"/>
          <w:lang w:eastAsia="en-IN"/>
        </w:rPr>
        <w:t>s of the two applicants could</w:t>
      </w:r>
      <w:r w:rsidR="00F43A2A">
        <w:rPr>
          <w:rFonts w:ascii="Verdana" w:eastAsia="Times New Roman" w:hAnsi="Verdana" w:cs="Times New Roman"/>
          <w:bCs/>
          <w:sz w:val="24"/>
          <w:szCs w:val="24"/>
          <w:lang w:eastAsia="en-IN"/>
        </w:rPr>
        <w:t xml:space="preserve"> definitely be said to be pending before the AO and in particular, wh</w:t>
      </w:r>
      <w:r w:rsidR="00DB0C65">
        <w:rPr>
          <w:rFonts w:ascii="Verdana" w:eastAsia="Times New Roman" w:hAnsi="Verdana" w:cs="Times New Roman"/>
          <w:bCs/>
          <w:sz w:val="24"/>
          <w:szCs w:val="24"/>
          <w:lang w:eastAsia="en-IN"/>
        </w:rPr>
        <w:t>en arguments were addressed by</w:t>
      </w:r>
      <w:r w:rsidR="00F43A2A">
        <w:rPr>
          <w:rFonts w:ascii="Verdana" w:eastAsia="Times New Roman" w:hAnsi="Verdana" w:cs="Times New Roman"/>
          <w:bCs/>
          <w:sz w:val="24"/>
          <w:szCs w:val="24"/>
          <w:lang w:eastAsia="en-IN"/>
        </w:rPr>
        <w:t xml:space="preserve"> all the interested parties in proceedings under section 245R (4) of the Act in the case of EPSL as well the two intervenors who are in present applications are applicants. To deny this reality shall be travesty of justice. </w:t>
      </w:r>
    </w:p>
    <w:p w14:paraId="5D36303E" w14:textId="0777280F" w:rsidR="006574B9" w:rsidRDefault="000A66E9" w:rsidP="00F43A2A">
      <w:pPr>
        <w:shd w:val="clear" w:color="auto" w:fill="FFFFFF"/>
        <w:spacing w:line="240" w:lineRule="auto"/>
        <w:ind w:left="720" w:right="360"/>
        <w:jc w:val="both"/>
        <w:rPr>
          <w:rFonts w:ascii="Verdana" w:hAnsi="Verdana"/>
          <w:sz w:val="24"/>
          <w:szCs w:val="24"/>
        </w:rPr>
      </w:pPr>
      <w:r>
        <w:rPr>
          <w:rFonts w:ascii="Verdana" w:eastAsia="Times New Roman" w:hAnsi="Verdana" w:cs="Times New Roman"/>
          <w:bCs/>
          <w:sz w:val="24"/>
          <w:szCs w:val="24"/>
          <w:lang w:eastAsia="en-IN"/>
        </w:rPr>
        <w:t>It would be immaterial and irrelevant a fact even if no question is raised in the application</w:t>
      </w:r>
      <w:r w:rsidR="005965F1">
        <w:rPr>
          <w:rFonts w:ascii="Verdana" w:eastAsia="Times New Roman" w:hAnsi="Verdana" w:cs="Times New Roman"/>
          <w:bCs/>
          <w:sz w:val="24"/>
          <w:szCs w:val="24"/>
          <w:lang w:eastAsia="en-IN"/>
        </w:rPr>
        <w:t>s</w:t>
      </w:r>
      <w:r>
        <w:rPr>
          <w:rFonts w:ascii="Verdana" w:eastAsia="Times New Roman" w:hAnsi="Verdana" w:cs="Times New Roman"/>
          <w:bCs/>
          <w:sz w:val="24"/>
          <w:szCs w:val="24"/>
          <w:lang w:eastAsia="en-IN"/>
        </w:rPr>
        <w:t xml:space="preserve"> </w:t>
      </w:r>
      <w:r w:rsidR="005965F1">
        <w:rPr>
          <w:rFonts w:ascii="Verdana" w:eastAsia="Times New Roman" w:hAnsi="Verdana" w:cs="Times New Roman"/>
          <w:bCs/>
          <w:sz w:val="24"/>
          <w:szCs w:val="24"/>
          <w:lang w:eastAsia="en-IN"/>
        </w:rPr>
        <w:t>of</w:t>
      </w:r>
      <w:r>
        <w:rPr>
          <w:rFonts w:ascii="Verdana" w:eastAsia="Times New Roman" w:hAnsi="Verdana" w:cs="Times New Roman"/>
          <w:bCs/>
          <w:sz w:val="24"/>
          <w:szCs w:val="24"/>
          <w:lang w:eastAsia="en-IN"/>
        </w:rPr>
        <w:t xml:space="preserve"> intervention by the applicants because</w:t>
      </w:r>
      <w:r w:rsidR="005965F1">
        <w:rPr>
          <w:rFonts w:ascii="Verdana" w:eastAsia="Times New Roman" w:hAnsi="Verdana" w:cs="Times New Roman"/>
          <w:bCs/>
          <w:sz w:val="24"/>
          <w:szCs w:val="24"/>
          <w:lang w:eastAsia="en-IN"/>
        </w:rPr>
        <w:t xml:space="preserve"> the applicants have expressed</w:t>
      </w:r>
      <w:r w:rsidR="002E1786">
        <w:rPr>
          <w:rFonts w:ascii="Verdana" w:eastAsia="Times New Roman" w:hAnsi="Verdana" w:cs="Times New Roman"/>
          <w:bCs/>
          <w:sz w:val="24"/>
          <w:szCs w:val="24"/>
          <w:lang w:eastAsia="en-IN"/>
        </w:rPr>
        <w:t xml:space="preserve"> their concern</w:t>
      </w:r>
      <w:r w:rsidR="005965F1">
        <w:rPr>
          <w:rFonts w:ascii="Verdana" w:eastAsia="Times New Roman" w:hAnsi="Verdana" w:cs="Times New Roman"/>
          <w:bCs/>
          <w:sz w:val="24"/>
          <w:szCs w:val="24"/>
          <w:lang w:eastAsia="en-IN"/>
        </w:rPr>
        <w:t xml:space="preserve"> that </w:t>
      </w:r>
      <w:r w:rsidR="005965F1" w:rsidRPr="00A529C2">
        <w:rPr>
          <w:rFonts w:ascii="Verdana" w:eastAsia="Times New Roman" w:hAnsi="Verdana" w:cs="Times New Roman"/>
          <w:b/>
          <w:bCs/>
          <w:i/>
          <w:sz w:val="24"/>
          <w:szCs w:val="24"/>
          <w:lang w:eastAsia="en-IN"/>
        </w:rPr>
        <w:t>they are</w:t>
      </w:r>
      <w:r w:rsidR="002E1786" w:rsidRPr="00A529C2">
        <w:rPr>
          <w:rFonts w:ascii="Verdana" w:eastAsia="Times New Roman" w:hAnsi="Verdana" w:cs="Times New Roman"/>
          <w:b/>
          <w:bCs/>
          <w:i/>
          <w:sz w:val="24"/>
          <w:szCs w:val="24"/>
          <w:lang w:eastAsia="en-IN"/>
        </w:rPr>
        <w:t xml:space="preserve"> vitally</w:t>
      </w:r>
      <w:r w:rsidR="005965F1" w:rsidRPr="00A529C2">
        <w:rPr>
          <w:rFonts w:ascii="Verdana" w:eastAsia="Times New Roman" w:hAnsi="Verdana" w:cs="Times New Roman"/>
          <w:b/>
          <w:bCs/>
          <w:i/>
          <w:sz w:val="24"/>
          <w:szCs w:val="24"/>
          <w:lang w:eastAsia="en-IN"/>
        </w:rPr>
        <w:t xml:space="preserve"> </w:t>
      </w:r>
      <w:r w:rsidR="004E2EC4">
        <w:rPr>
          <w:rFonts w:ascii="Verdana" w:eastAsia="Times New Roman" w:hAnsi="Verdana" w:cs="Times New Roman"/>
          <w:b/>
          <w:bCs/>
          <w:i/>
          <w:sz w:val="24"/>
          <w:szCs w:val="24"/>
          <w:lang w:eastAsia="en-IN"/>
        </w:rPr>
        <w:t xml:space="preserve">concerned, </w:t>
      </w:r>
      <w:r w:rsidR="002E1786" w:rsidRPr="00A529C2">
        <w:rPr>
          <w:rFonts w:ascii="Verdana" w:hAnsi="Verdana"/>
          <w:b/>
          <w:i/>
          <w:sz w:val="24"/>
          <w:szCs w:val="24"/>
        </w:rPr>
        <w:t>interested and affected in the principal issue on which ruling was being sought for by EPSL</w:t>
      </w:r>
      <w:r w:rsidR="00DB0C65">
        <w:rPr>
          <w:rFonts w:ascii="Verdana" w:hAnsi="Verdana"/>
          <w:b/>
          <w:i/>
          <w:sz w:val="24"/>
          <w:szCs w:val="24"/>
        </w:rPr>
        <w:t xml:space="preserve"> and thus identity of the question by both, that is, EPSl and two applicants loses distinction and becomes one and the same for both.</w:t>
      </w:r>
    </w:p>
    <w:p w14:paraId="035CCB35" w14:textId="77777777" w:rsidR="00F43A2A" w:rsidRDefault="00BD2F3F" w:rsidP="006574B9">
      <w:pPr>
        <w:ind w:left="720" w:right="-188"/>
        <w:rPr>
          <w:rFonts w:ascii="Verdana" w:hAnsi="Verdana"/>
          <w:sz w:val="24"/>
          <w:szCs w:val="24"/>
        </w:rPr>
      </w:pPr>
      <w:r w:rsidRPr="00224EA3">
        <w:rPr>
          <w:rFonts w:ascii="Verdana" w:hAnsi="Verdana"/>
          <w:sz w:val="24"/>
          <w:szCs w:val="24"/>
        </w:rPr>
        <w:t>For this submission, Revenue has drawn support from a recent ruling pronounced by Hon’ble Authority in the case of G.D. Rungta Educational Foundation</w:t>
      </w:r>
      <w:r w:rsidR="00861B94" w:rsidRPr="00224EA3">
        <w:rPr>
          <w:rFonts w:ascii="Verdana" w:hAnsi="Verdana"/>
          <w:sz w:val="24"/>
          <w:szCs w:val="24"/>
        </w:rPr>
        <w:t xml:space="preserve"> being A</w:t>
      </w:r>
      <w:r w:rsidR="00F43A2A">
        <w:rPr>
          <w:rFonts w:ascii="Verdana" w:hAnsi="Verdana"/>
          <w:sz w:val="24"/>
          <w:szCs w:val="24"/>
        </w:rPr>
        <w:t>AR</w:t>
      </w:r>
      <w:r w:rsidR="00861B94" w:rsidRPr="00224EA3">
        <w:rPr>
          <w:rFonts w:ascii="Verdana" w:hAnsi="Verdana"/>
          <w:sz w:val="24"/>
          <w:szCs w:val="24"/>
        </w:rPr>
        <w:t xml:space="preserve"> No 1730 of 2015 pronounced on 6</w:t>
      </w:r>
      <w:r w:rsidR="00861B94" w:rsidRPr="00224EA3">
        <w:rPr>
          <w:rFonts w:ascii="Verdana" w:hAnsi="Verdana"/>
          <w:sz w:val="24"/>
          <w:szCs w:val="24"/>
          <w:vertAlign w:val="superscript"/>
        </w:rPr>
        <w:t>th</w:t>
      </w:r>
      <w:r w:rsidR="00861B94" w:rsidRPr="00224EA3">
        <w:rPr>
          <w:rFonts w:ascii="Verdana" w:hAnsi="Verdana"/>
          <w:sz w:val="24"/>
          <w:szCs w:val="24"/>
        </w:rPr>
        <w:t xml:space="preserve"> June, 2019</w:t>
      </w:r>
      <w:r w:rsidRPr="00224EA3">
        <w:rPr>
          <w:rFonts w:ascii="Verdana" w:hAnsi="Verdana"/>
          <w:sz w:val="24"/>
          <w:szCs w:val="24"/>
        </w:rPr>
        <w:t xml:space="preserve">. A copy of the Ruling is also filed in the course of hearing. Revenue has also drawn support from the Ruling pronounced in the case of Microsoft Operations Pte Ltd reported in </w:t>
      </w:r>
      <w:r w:rsidR="00861B94" w:rsidRPr="00224EA3">
        <w:rPr>
          <w:rFonts w:ascii="Verdana" w:hAnsi="Verdana"/>
          <w:sz w:val="24"/>
          <w:szCs w:val="24"/>
        </w:rPr>
        <w:t xml:space="preserve">[2009] 178 Taxman328 (AAR) </w:t>
      </w:r>
      <w:r w:rsidRPr="00224EA3">
        <w:rPr>
          <w:rFonts w:ascii="Verdana" w:hAnsi="Verdana"/>
          <w:sz w:val="24"/>
          <w:szCs w:val="24"/>
        </w:rPr>
        <w:t xml:space="preserve">where a similar situation arose concerning the deductor and the deductee and issue was pending before Tax authorities. Hon’ble Authority after due consideration, refused to give ruling as the issue was common to both, </w:t>
      </w:r>
      <w:r w:rsidRPr="00224EA3">
        <w:rPr>
          <w:rFonts w:ascii="Verdana" w:hAnsi="Verdana"/>
          <w:sz w:val="24"/>
          <w:szCs w:val="24"/>
        </w:rPr>
        <w:lastRenderedPageBreak/>
        <w:t xml:space="preserve">that is, the deductor and the deductee.   </w:t>
      </w:r>
      <w:r w:rsidR="00F42426" w:rsidRPr="006574B9">
        <w:rPr>
          <w:rFonts w:ascii="Verdana" w:hAnsi="Verdana"/>
          <w:sz w:val="24"/>
          <w:szCs w:val="24"/>
        </w:rPr>
        <w:t xml:space="preserve">Judgment rendered by Hon’ble High Court of Andhra Pradesh in the case of </w:t>
      </w:r>
      <w:r w:rsidR="0090055C" w:rsidRPr="006574B9">
        <w:rPr>
          <w:rFonts w:ascii="Verdana" w:hAnsi="Verdana"/>
          <w:sz w:val="24"/>
          <w:szCs w:val="24"/>
        </w:rPr>
        <w:t>DIT (International Taxation) v. Authority for Advance Rulings</w:t>
      </w:r>
      <w:r w:rsidR="00F42426" w:rsidRPr="006574B9">
        <w:rPr>
          <w:rFonts w:ascii="Verdana" w:hAnsi="Verdana"/>
          <w:sz w:val="24"/>
          <w:szCs w:val="24"/>
        </w:rPr>
        <w:t xml:space="preserve"> reported in </w:t>
      </w:r>
      <w:r w:rsidR="0090055C" w:rsidRPr="006574B9">
        <w:rPr>
          <w:rFonts w:ascii="Verdana" w:hAnsi="Verdana"/>
          <w:sz w:val="24"/>
          <w:szCs w:val="24"/>
        </w:rPr>
        <w:t xml:space="preserve">[2013] 352 ITR 185(A.P) </w:t>
      </w:r>
      <w:r w:rsidR="00F42426" w:rsidRPr="006574B9">
        <w:rPr>
          <w:rFonts w:ascii="Verdana" w:hAnsi="Verdana"/>
          <w:sz w:val="24"/>
          <w:szCs w:val="24"/>
        </w:rPr>
        <w:t>also supports the submission of Revenue that even at the stage of 245R (4) of the Act, the threshold bar provided in item (i) or item (iii) of Proviso to 245R</w:t>
      </w:r>
      <w:r w:rsidR="007C5B2F" w:rsidRPr="006574B9">
        <w:rPr>
          <w:rFonts w:ascii="Verdana" w:hAnsi="Verdana"/>
          <w:sz w:val="24"/>
          <w:szCs w:val="24"/>
        </w:rPr>
        <w:t xml:space="preserve"> (2) of the Act</w:t>
      </w:r>
      <w:r w:rsidR="00F42426" w:rsidRPr="006574B9">
        <w:rPr>
          <w:rFonts w:ascii="Verdana" w:hAnsi="Verdana"/>
          <w:sz w:val="24"/>
          <w:szCs w:val="24"/>
        </w:rPr>
        <w:t xml:space="preserve"> requires to be considered and Hon’ble Authority would be competent to reject the application. </w:t>
      </w:r>
    </w:p>
    <w:p w14:paraId="1DCEC231" w14:textId="024F5B68" w:rsidR="00F43A2A" w:rsidRDefault="00F43A2A" w:rsidP="006574B9">
      <w:pPr>
        <w:ind w:left="720" w:right="-188"/>
        <w:rPr>
          <w:rFonts w:ascii="Verdana" w:hAnsi="Verdana"/>
          <w:sz w:val="24"/>
          <w:szCs w:val="24"/>
        </w:rPr>
      </w:pPr>
      <w:r>
        <w:rPr>
          <w:rFonts w:ascii="Verdana" w:hAnsi="Verdana"/>
          <w:sz w:val="24"/>
          <w:szCs w:val="24"/>
        </w:rPr>
        <w:t>It has been argued for and on behalf of the applicants that the two decisions cited by Revenue would not be applicable on the facts and in the circumstances of present applicants.</w:t>
      </w:r>
      <w:r w:rsidR="00C8294C">
        <w:rPr>
          <w:rFonts w:ascii="Verdana" w:hAnsi="Verdana"/>
          <w:sz w:val="24"/>
          <w:szCs w:val="24"/>
        </w:rPr>
        <w:t xml:space="preserve"> It is agreed that the facts and circumstances in the case of Microsoft Operations Pte Ltd reported in [2009] 310 ITR 328 (AAR) are different but certain facts</w:t>
      </w:r>
      <w:r w:rsidR="000E2F79">
        <w:rPr>
          <w:rFonts w:ascii="Verdana" w:hAnsi="Verdana"/>
          <w:sz w:val="24"/>
          <w:szCs w:val="24"/>
        </w:rPr>
        <w:t xml:space="preserve"> and circumstances</w:t>
      </w:r>
      <w:r w:rsidR="00C8294C">
        <w:rPr>
          <w:rFonts w:ascii="Verdana" w:hAnsi="Verdana"/>
          <w:sz w:val="24"/>
          <w:szCs w:val="24"/>
        </w:rPr>
        <w:t xml:space="preserve"> recorded by Hon’ble Authority in that case are similar to the present cases. In this regard, kind attention of Hon’ble Authority is invited </w:t>
      </w:r>
      <w:r w:rsidR="0029685F">
        <w:rPr>
          <w:rFonts w:ascii="Verdana" w:hAnsi="Verdana"/>
          <w:sz w:val="24"/>
          <w:szCs w:val="24"/>
        </w:rPr>
        <w:t>to Para</w:t>
      </w:r>
      <w:r w:rsidR="00C8294C">
        <w:rPr>
          <w:rFonts w:ascii="Verdana" w:hAnsi="Verdana"/>
          <w:sz w:val="24"/>
          <w:szCs w:val="24"/>
        </w:rPr>
        <w:t xml:space="preserve"> (11) of the</w:t>
      </w:r>
      <w:r w:rsidR="004E0020">
        <w:rPr>
          <w:rFonts w:ascii="Verdana" w:hAnsi="Verdana"/>
          <w:sz w:val="24"/>
          <w:szCs w:val="24"/>
        </w:rPr>
        <w:t xml:space="preserve"> said</w:t>
      </w:r>
      <w:r w:rsidR="00C8294C">
        <w:rPr>
          <w:rFonts w:ascii="Verdana" w:hAnsi="Verdana"/>
          <w:sz w:val="24"/>
          <w:szCs w:val="24"/>
        </w:rPr>
        <w:t xml:space="preserve"> report which is reproduced as under:</w:t>
      </w:r>
      <w:r>
        <w:rPr>
          <w:rFonts w:ascii="Verdana" w:hAnsi="Verdana"/>
          <w:sz w:val="24"/>
          <w:szCs w:val="24"/>
        </w:rPr>
        <w:t xml:space="preserve"> </w:t>
      </w:r>
    </w:p>
    <w:p w14:paraId="0287A387" w14:textId="77777777" w:rsidR="0029685F" w:rsidRPr="0029685F" w:rsidRDefault="0029685F" w:rsidP="0029685F">
      <w:pPr>
        <w:pStyle w:val="NormalWeb"/>
        <w:shd w:val="clear" w:color="auto" w:fill="FFFFFF"/>
        <w:spacing w:before="0" w:beforeAutospacing="0" w:after="160" w:afterAutospacing="0"/>
        <w:ind w:left="720"/>
        <w:jc w:val="both"/>
        <w:rPr>
          <w:rFonts w:ascii="Verdana" w:hAnsi="Verdana"/>
          <w:i/>
          <w:color w:val="333333"/>
        </w:rPr>
      </w:pPr>
      <w:r w:rsidRPr="0029685F">
        <w:rPr>
          <w:rFonts w:ascii="Verdana" w:hAnsi="Verdana"/>
          <w:i/>
        </w:rPr>
        <w:t>“</w:t>
      </w:r>
      <w:r w:rsidRPr="0029685F">
        <w:rPr>
          <w:rFonts w:ascii="Verdana" w:hAnsi="Verdana"/>
          <w:b/>
          <w:bCs/>
          <w:i/>
          <w:color w:val="333333"/>
        </w:rPr>
        <w:t>11.</w:t>
      </w:r>
      <w:r w:rsidRPr="0029685F">
        <w:rPr>
          <w:rFonts w:ascii="Verdana" w:hAnsi="Verdana"/>
          <w:i/>
          <w:color w:val="333333"/>
        </w:rPr>
        <w:t> In reply to the objection of the revenue, the learned senior counsel for the applicant has contended that a fresh agreement was entered into with MOLC after the merger of Gracemac. Though the terms of the agreement and the rights derived therefrom are substantially similar to the earlier agreements, no proceeding in relation to the applicant in respect of the same transaction can be said to be pending. It is then submitted that the applicant seeks advance ruling on the question whether it is liable to deduct tax at source in respect of the payments made to MOLC in terms of the agreements. The proceedings relating to deduction of tax at source cannot be equated to the proceedings arising out of assessment. In short, it is the applicant's contention that the issue relating to deductibility of tax at source under section 195 of the Income-tax Act is a separate and distinct proceeding which can run parallel to the proceedings arising out of the assessment of Gracemac. The tax withholding issue cannot be said to be pending anywhere, it is argued.</w:t>
      </w:r>
    </w:p>
    <w:p w14:paraId="28992778" w14:textId="49D624D1" w:rsidR="0029685F" w:rsidRDefault="0029685F" w:rsidP="0029685F">
      <w:pPr>
        <w:pStyle w:val="NormalWeb"/>
        <w:shd w:val="clear" w:color="auto" w:fill="FFFFFF"/>
        <w:spacing w:before="0" w:beforeAutospacing="0" w:after="160" w:afterAutospacing="0"/>
        <w:ind w:left="720"/>
        <w:jc w:val="both"/>
        <w:rPr>
          <w:rFonts w:ascii="Verdana" w:hAnsi="Verdana"/>
          <w:color w:val="333333"/>
        </w:rPr>
      </w:pPr>
      <w:r w:rsidRPr="0029685F">
        <w:rPr>
          <w:rFonts w:ascii="Verdana" w:hAnsi="Verdana"/>
          <w:b/>
          <w:bCs/>
          <w:i/>
          <w:color w:val="333333"/>
        </w:rPr>
        <w:t>12.</w:t>
      </w:r>
      <w:r w:rsidRPr="0029685F">
        <w:rPr>
          <w:rFonts w:ascii="Verdana" w:hAnsi="Verdana"/>
          <w:i/>
          <w:color w:val="333333"/>
        </w:rPr>
        <w:t> Assuming that the question relating to tax deduction at source raised by the applicant can be gone into by this Authority in spite of pendency of the appeal of Gracemac/MOLC, the question is whether we should entertain this application at this stage and hear it on merits. On an anxious consideration, we are of the view that it is not a fit case for admission and handing down a ruling on the questions posed.”</w:t>
      </w:r>
    </w:p>
    <w:p w14:paraId="207CFD18" w14:textId="77777777" w:rsidR="0029685F" w:rsidRDefault="0029685F" w:rsidP="0029685F">
      <w:pPr>
        <w:pStyle w:val="NormalWeb"/>
        <w:shd w:val="clear" w:color="auto" w:fill="FFFFFF"/>
        <w:spacing w:before="0" w:beforeAutospacing="0" w:after="160" w:afterAutospacing="0"/>
        <w:ind w:left="720"/>
        <w:jc w:val="both"/>
        <w:rPr>
          <w:rFonts w:ascii="Verdana" w:hAnsi="Verdana"/>
          <w:bCs/>
          <w:color w:val="333333"/>
        </w:rPr>
      </w:pPr>
      <w:r>
        <w:rPr>
          <w:rFonts w:ascii="Verdana" w:hAnsi="Verdana"/>
          <w:bCs/>
          <w:color w:val="333333"/>
        </w:rPr>
        <w:t>Going further, Hon’ble Authority in the said Ruling lays down guidelines for the purpose of consideration of the threshold bars provided in the said provisions in following manner in Para 12.2 of the Report:</w:t>
      </w:r>
    </w:p>
    <w:p w14:paraId="56D4DE4F" w14:textId="52A76277" w:rsidR="005064D1" w:rsidRDefault="0029685F" w:rsidP="00112FB4">
      <w:pPr>
        <w:pStyle w:val="NormalWeb"/>
        <w:shd w:val="clear" w:color="auto" w:fill="FFFFFF"/>
        <w:spacing w:before="0" w:beforeAutospacing="0" w:after="160" w:afterAutospacing="0"/>
        <w:ind w:left="720"/>
        <w:jc w:val="both"/>
        <w:rPr>
          <w:rFonts w:ascii="Verdana" w:hAnsi="Verdana"/>
          <w:color w:val="333333"/>
          <w:shd w:val="clear" w:color="auto" w:fill="FFFFFF"/>
        </w:rPr>
      </w:pPr>
      <w:r w:rsidRPr="000A1C33">
        <w:rPr>
          <w:rFonts w:ascii="Verdana" w:hAnsi="Verdana"/>
          <w:bCs/>
          <w:i/>
          <w:color w:val="333333"/>
        </w:rPr>
        <w:t>“</w:t>
      </w:r>
      <w:r w:rsidR="000A1C33" w:rsidRPr="000A1C33">
        <w:rPr>
          <w:rFonts w:ascii="Verdana" w:hAnsi="Verdana"/>
          <w:b/>
          <w:bCs/>
          <w:i/>
          <w:color w:val="333333"/>
          <w:shd w:val="clear" w:color="auto" w:fill="FFFFFF"/>
        </w:rPr>
        <w:t>12.2</w:t>
      </w:r>
      <w:r w:rsidR="000A1C33" w:rsidRPr="000A1C33">
        <w:rPr>
          <w:rFonts w:ascii="Verdana" w:hAnsi="Verdana"/>
          <w:i/>
          <w:color w:val="333333"/>
          <w:shd w:val="clear" w:color="auto" w:fill="FFFFFF"/>
        </w:rPr>
        <w:t xml:space="preserve"> Thus, the eligibility criteria for being an applicant and the scope and parameters of advance ruling are set out in the definition clause. Unless the advance ruling sought conforms to the said provisions in the definition clause, the Authority cannot proceed to consider the application. Then comes sub-section (2) of section 245R. That provision is couched in a permissive language - </w:t>
      </w:r>
      <w:r w:rsidR="000A1C33" w:rsidRPr="0020114E">
        <w:rPr>
          <w:rFonts w:ascii="Verdana" w:hAnsi="Verdana"/>
          <w:b/>
          <w:i/>
          <w:color w:val="333333"/>
          <w:u w:val="single"/>
          <w:shd w:val="clear" w:color="auto" w:fill="FFFFFF"/>
        </w:rPr>
        <w:t>"may allow or reject"</w:t>
      </w:r>
      <w:r w:rsidR="000A1C33" w:rsidRPr="000A1C33">
        <w:rPr>
          <w:rFonts w:ascii="Verdana" w:hAnsi="Verdana"/>
          <w:i/>
          <w:color w:val="333333"/>
          <w:shd w:val="clear" w:color="auto" w:fill="FFFFFF"/>
        </w:rPr>
        <w:t xml:space="preserve">. The language clearly admits of an element of discretion to this statutory </w:t>
      </w:r>
      <w:r w:rsidR="000A1C33" w:rsidRPr="000A1C33">
        <w:rPr>
          <w:rFonts w:ascii="Verdana" w:hAnsi="Verdana"/>
          <w:i/>
          <w:color w:val="333333"/>
          <w:shd w:val="clear" w:color="auto" w:fill="FFFFFF"/>
        </w:rPr>
        <w:lastRenderedPageBreak/>
        <w:t>body while passing an order under section 245R(2). Going by the clear language, discretion is implicit in the provision. The first proviso, however, qualifies the </w:t>
      </w:r>
      <w:r w:rsidR="000A1C33" w:rsidRPr="000A1C33">
        <w:rPr>
          <w:rFonts w:ascii="Verdana" w:hAnsi="Verdana"/>
          <w:i/>
          <w:color w:val="333333"/>
          <w:shd w:val="clear" w:color="auto" w:fill="FFFF00"/>
        </w:rPr>
        <w:t>operation</w:t>
      </w:r>
      <w:r w:rsidR="000A1C33" w:rsidRPr="000A1C33">
        <w:rPr>
          <w:rFonts w:ascii="Verdana" w:hAnsi="Verdana"/>
          <w:i/>
          <w:color w:val="333333"/>
          <w:shd w:val="clear" w:color="auto" w:fill="FFFFFF"/>
        </w:rPr>
        <w:t> of the main provision in sub-section (2) by placing certain restrictions or limitations on the exercise of power. Each one of the clauses in the Proviso </w:t>
      </w:r>
      <w:r w:rsidR="000A1C33" w:rsidRPr="000A1C33">
        <w:rPr>
          <w:rFonts w:ascii="Verdana" w:hAnsi="Verdana"/>
          <w:i/>
          <w:color w:val="333333"/>
          <w:shd w:val="clear" w:color="auto" w:fill="FFFF00"/>
        </w:rPr>
        <w:t>operates</w:t>
      </w:r>
      <w:r w:rsidR="000A1C33" w:rsidRPr="000A1C33">
        <w:rPr>
          <w:rFonts w:ascii="Verdana" w:hAnsi="Verdana"/>
          <w:i/>
          <w:color w:val="333333"/>
          <w:shd w:val="clear" w:color="auto" w:fill="FFFFFF"/>
        </w:rPr>
        <w:t> as a legal bar to the entertainment of the application and hearing the same on merits. The Authority is precluded from 'allowing' the application if the application is hit by any of the embargoes laid down in the proviso. On the basis of the facts stated in the application and the other documents forming part of the record as well as on the basis of the comments/objections filed by the revenue, the Authority should first address itself to the question whether any of the three clauses is attracted. Once the conclusion is reached that the application is hit by one or all of the embargoes laid down in the proviso to section 245R</w:t>
      </w:r>
      <w:r w:rsidR="00357F61">
        <w:rPr>
          <w:rFonts w:ascii="Verdana" w:hAnsi="Verdana"/>
          <w:i/>
          <w:color w:val="333333"/>
          <w:shd w:val="clear" w:color="auto" w:fill="FFFFFF"/>
        </w:rPr>
        <w:t xml:space="preserve"> </w:t>
      </w:r>
      <w:r w:rsidR="000A1C33" w:rsidRPr="000A1C33">
        <w:rPr>
          <w:rFonts w:ascii="Verdana" w:hAnsi="Verdana"/>
          <w:i/>
          <w:color w:val="333333"/>
          <w:shd w:val="clear" w:color="auto" w:fill="FFFFFF"/>
        </w:rPr>
        <w:t>(2), the Authority has no option but to reject the application </w:t>
      </w:r>
      <w:r w:rsidR="000A1C33" w:rsidRPr="000A1C33">
        <w:rPr>
          <w:rFonts w:ascii="Verdana" w:hAnsi="Verdana"/>
          <w:i/>
          <w:iCs/>
          <w:color w:val="333333"/>
          <w:shd w:val="clear" w:color="auto" w:fill="FFFFFF"/>
        </w:rPr>
        <w:t>in limine</w:t>
      </w:r>
      <w:r w:rsidR="000A1C33" w:rsidRPr="000A1C33">
        <w:rPr>
          <w:rFonts w:ascii="Verdana" w:hAnsi="Verdana"/>
          <w:i/>
          <w:color w:val="333333"/>
          <w:shd w:val="clear" w:color="auto" w:fill="FFFFFF"/>
        </w:rPr>
        <w:t>. It is not open to the Authority to ignore the legal bar created by the proviso notwithstanding the discretion conferred on the Authority in apparently wide terms under the main provision </w:t>
      </w:r>
      <w:r w:rsidR="000A1C33" w:rsidRPr="000A1C33">
        <w:rPr>
          <w:rFonts w:ascii="Verdana" w:hAnsi="Verdana"/>
          <w:i/>
          <w:iCs/>
          <w:color w:val="333333"/>
          <w:shd w:val="clear" w:color="auto" w:fill="FFFFFF"/>
        </w:rPr>
        <w:t>i.e.,</w:t>
      </w:r>
      <w:r w:rsidR="000A1C33" w:rsidRPr="000A1C33">
        <w:rPr>
          <w:rFonts w:ascii="Verdana" w:hAnsi="Verdana"/>
          <w:i/>
          <w:color w:val="333333"/>
          <w:shd w:val="clear" w:color="auto" w:fill="FFFFFF"/>
        </w:rPr>
        <w:t xml:space="preserve"> sub-section (2). </w:t>
      </w:r>
      <w:r w:rsidR="000A1C33" w:rsidRPr="00357F61">
        <w:rPr>
          <w:rFonts w:ascii="Verdana" w:hAnsi="Verdana"/>
          <w:b/>
          <w:i/>
          <w:color w:val="333333"/>
          <w:u w:val="single"/>
          <w:shd w:val="clear" w:color="auto" w:fill="FFFFFF"/>
        </w:rPr>
        <w:t>However, it does not follow that the application is bound to be admitted and heard on merits once the factors set out in the proviso do not come in the way of admission. Still, the Authority has the discretion to reject the application, of course, on germane and weighty considerations. That discretion has to be exercised judiciously keeping in view the spirit and purpose of the provisions concerning advance ruling. The discretion may be invoked in exceptional cases but power to reject on grounds not expressly spelt out by the Statute cannot be ruled out. In other words, the proviso to section 245R</w:t>
      </w:r>
      <w:r w:rsidR="00357F61" w:rsidRPr="00357F61">
        <w:rPr>
          <w:rFonts w:ascii="Verdana" w:hAnsi="Verdana"/>
          <w:b/>
          <w:i/>
          <w:color w:val="333333"/>
          <w:u w:val="single"/>
          <w:shd w:val="clear" w:color="auto" w:fill="FFFFFF"/>
        </w:rPr>
        <w:t xml:space="preserve"> </w:t>
      </w:r>
      <w:r w:rsidR="000A1C33" w:rsidRPr="00357F61">
        <w:rPr>
          <w:rFonts w:ascii="Verdana" w:hAnsi="Verdana"/>
          <w:b/>
          <w:i/>
          <w:color w:val="333333"/>
          <w:u w:val="single"/>
          <w:shd w:val="clear" w:color="auto" w:fill="FFFFFF"/>
        </w:rPr>
        <w:t>(2) does not have the effect of taking away the discretion to reject the application on other unspecified grounds.</w:t>
      </w:r>
      <w:r w:rsidR="000A1C33" w:rsidRPr="000A1C33">
        <w:rPr>
          <w:rFonts w:ascii="Verdana" w:hAnsi="Verdana"/>
          <w:i/>
          <w:color w:val="333333"/>
          <w:shd w:val="clear" w:color="auto" w:fill="FFFFFF"/>
        </w:rPr>
        <w:t xml:space="preserve"> However, as said earlier, the exercise of discretion must be canalized on proper lines. Avoiding abuse of legal process, </w:t>
      </w:r>
      <w:r w:rsidR="000A1C33" w:rsidRPr="0020114E">
        <w:rPr>
          <w:rFonts w:ascii="Verdana" w:hAnsi="Verdana"/>
          <w:b/>
          <w:i/>
          <w:color w:val="333333"/>
          <w:u w:val="single"/>
          <w:shd w:val="clear" w:color="auto" w:fill="FFFFFF"/>
        </w:rPr>
        <w:t>incompatible decisions concerning the same parties and anomalous situations</w:t>
      </w:r>
      <w:r w:rsidR="000A1C33" w:rsidRPr="000A1C33">
        <w:rPr>
          <w:rFonts w:ascii="Verdana" w:hAnsi="Verdana"/>
          <w:i/>
          <w:color w:val="333333"/>
          <w:shd w:val="clear" w:color="auto" w:fill="FFFFFF"/>
        </w:rPr>
        <w:t xml:space="preserve"> are relevant considerations that guide the exercise of discretionary power to reject the application. For instance, in spite of a direct decision of the Supreme Court settling the point against an applicant, if the applicant seeks advance ruling with a view to stall further proceedings, it may then be a fit case to reject the application at the stage of consideration under section 245R</w:t>
      </w:r>
      <w:r w:rsidR="00357F61">
        <w:rPr>
          <w:rFonts w:ascii="Verdana" w:hAnsi="Verdana"/>
          <w:i/>
          <w:color w:val="333333"/>
          <w:shd w:val="clear" w:color="auto" w:fill="FFFFFF"/>
        </w:rPr>
        <w:t xml:space="preserve"> </w:t>
      </w:r>
      <w:r w:rsidR="000A1C33" w:rsidRPr="000A1C33">
        <w:rPr>
          <w:rFonts w:ascii="Verdana" w:hAnsi="Verdana"/>
          <w:i/>
          <w:color w:val="333333"/>
          <w:shd w:val="clear" w:color="auto" w:fill="FFFFFF"/>
        </w:rPr>
        <w:t>(2). Another instance that can be visualized is in a case where the applicant raises frivolous or hypothetical legal issues without factual foundation.</w:t>
      </w:r>
      <w:r w:rsidR="00266D93">
        <w:rPr>
          <w:rFonts w:ascii="Verdana" w:hAnsi="Verdana"/>
          <w:i/>
          <w:color w:val="333333"/>
          <w:shd w:val="clear" w:color="auto" w:fill="FFFFFF"/>
        </w:rPr>
        <w:t>”</w:t>
      </w:r>
      <w:r w:rsidR="000F0190">
        <w:rPr>
          <w:rFonts w:ascii="Verdana" w:hAnsi="Verdana"/>
          <w:i/>
          <w:color w:val="333333"/>
          <w:shd w:val="clear" w:color="auto" w:fill="FFFFFF"/>
        </w:rPr>
        <w:t xml:space="preserve"> </w:t>
      </w:r>
      <w:r w:rsidR="00357F61">
        <w:rPr>
          <w:rFonts w:ascii="Verdana" w:hAnsi="Verdana"/>
          <w:color w:val="333333"/>
          <w:shd w:val="clear" w:color="auto" w:fill="FFFFFF"/>
        </w:rPr>
        <w:t>[Emphasis supplied]</w:t>
      </w:r>
      <w:r w:rsidR="000F0190">
        <w:rPr>
          <w:rFonts w:ascii="Verdana" w:hAnsi="Verdana"/>
          <w:color w:val="333333"/>
          <w:shd w:val="clear" w:color="auto" w:fill="FFFFFF"/>
        </w:rPr>
        <w:t xml:space="preserve"> </w:t>
      </w:r>
    </w:p>
    <w:p w14:paraId="3BDA1BB8" w14:textId="78D49B8A" w:rsidR="00112FB4" w:rsidRDefault="00112FB4" w:rsidP="00112FB4">
      <w:pPr>
        <w:pStyle w:val="NormalWeb"/>
        <w:shd w:val="clear" w:color="auto" w:fill="FFFFFF"/>
        <w:spacing w:before="0" w:beforeAutospacing="0" w:after="160" w:afterAutospacing="0"/>
        <w:ind w:left="720"/>
        <w:jc w:val="both"/>
        <w:rPr>
          <w:rFonts w:ascii="Verdana" w:hAnsi="Verdana"/>
        </w:rPr>
      </w:pPr>
      <w:r>
        <w:rPr>
          <w:rFonts w:ascii="Verdana" w:hAnsi="Verdana"/>
          <w:bCs/>
          <w:i/>
          <w:color w:val="333333"/>
        </w:rPr>
        <w:t>In so far as the case of G.</w:t>
      </w:r>
      <w:r w:rsidR="00F27D2F">
        <w:rPr>
          <w:rFonts w:ascii="Verdana" w:hAnsi="Verdana"/>
        </w:rPr>
        <w:t>D. Rungta</w:t>
      </w:r>
      <w:r>
        <w:rPr>
          <w:rFonts w:ascii="Verdana" w:hAnsi="Verdana"/>
        </w:rPr>
        <w:t xml:space="preserve"> Foundation is concerned</w:t>
      </w:r>
      <w:r w:rsidR="00F27D2F">
        <w:rPr>
          <w:rFonts w:ascii="Verdana" w:hAnsi="Verdana"/>
        </w:rPr>
        <w:t xml:space="preserve">, in that case, at no stage the AO questioned that tax was required to be deducted by the payer-foundation from the payments made by it to non-resident payee. The inquiry was only at a preliminary stage by way of verification from the information contained in Form 15CA verified by a chartered accountant. The case of present applicants is much weaker when viewed in the context of the ruling pronounced in the case of G.D.Rungta Foundation since in the course of hearing in terms of section 245R (4) of the Act in the case of EPSL wherein the present </w:t>
      </w:r>
      <w:r w:rsidR="00F27D2F">
        <w:rPr>
          <w:rFonts w:ascii="Verdana" w:hAnsi="Verdana"/>
        </w:rPr>
        <w:lastRenderedPageBreak/>
        <w:t xml:space="preserve">applicants joined as intervenors, it was argued for and on behalf of the Department </w:t>
      </w:r>
      <w:r w:rsidR="00263C9D">
        <w:rPr>
          <w:rFonts w:ascii="Verdana" w:hAnsi="Verdana"/>
        </w:rPr>
        <w:t xml:space="preserve">in the course of hearings in the year 2011 </w:t>
      </w:r>
      <w:r w:rsidR="00F27D2F">
        <w:rPr>
          <w:rFonts w:ascii="Verdana" w:hAnsi="Verdana"/>
        </w:rPr>
        <w:t xml:space="preserve">that there would exist obligation on the part of EPSL to deduct tax at source on the payments towards sale consideration being paid by it to the two applicants on the capital gains arising to the two applicants on the sale of shares of Vodafone </w:t>
      </w:r>
      <w:r w:rsidR="006254F7">
        <w:rPr>
          <w:rFonts w:ascii="Verdana" w:hAnsi="Verdana"/>
        </w:rPr>
        <w:t>Essar</w:t>
      </w:r>
      <w:r w:rsidR="00F27D2F">
        <w:rPr>
          <w:rFonts w:ascii="Verdana" w:hAnsi="Verdana"/>
        </w:rPr>
        <w:t xml:space="preserve"> Limited. </w:t>
      </w:r>
      <w:r w:rsidR="006254F7">
        <w:rPr>
          <w:rFonts w:ascii="Verdana" w:hAnsi="Verdana"/>
        </w:rPr>
        <w:t xml:space="preserve">The applicants have filed their applications much later in the day, that is, September, 2012. </w:t>
      </w:r>
      <w:r w:rsidR="00F27D2F">
        <w:rPr>
          <w:rFonts w:ascii="Verdana" w:hAnsi="Verdana"/>
        </w:rPr>
        <w:t xml:space="preserve">It was in this context and under these </w:t>
      </w:r>
      <w:r w:rsidR="006254F7">
        <w:rPr>
          <w:rFonts w:ascii="Verdana" w:hAnsi="Verdana"/>
        </w:rPr>
        <w:t>circumstances that</w:t>
      </w:r>
      <w:r w:rsidR="00F27D2F">
        <w:rPr>
          <w:rFonts w:ascii="Verdana" w:hAnsi="Verdana"/>
        </w:rPr>
        <w:t xml:space="preserve"> the AO was making enquiries from the two applicants and such enquiries were not in the nature of roving </w:t>
      </w:r>
      <w:r w:rsidR="0006432B">
        <w:rPr>
          <w:rFonts w:ascii="Verdana" w:hAnsi="Verdana"/>
        </w:rPr>
        <w:t>but specific and germane to this issue.</w:t>
      </w:r>
      <w:r w:rsidR="00F27D2F">
        <w:rPr>
          <w:rFonts w:ascii="Verdana" w:hAnsi="Verdana"/>
        </w:rPr>
        <w:t xml:space="preserve"> </w:t>
      </w:r>
    </w:p>
    <w:p w14:paraId="41D3B5F1" w14:textId="691E3DE5" w:rsidR="00F601C3" w:rsidRDefault="00F42426" w:rsidP="006574B9">
      <w:pPr>
        <w:ind w:left="720" w:right="-188"/>
        <w:rPr>
          <w:rFonts w:ascii="Verdana" w:hAnsi="Verdana"/>
          <w:sz w:val="24"/>
          <w:szCs w:val="24"/>
        </w:rPr>
      </w:pPr>
      <w:r w:rsidRPr="006574B9">
        <w:rPr>
          <w:rFonts w:ascii="Verdana" w:hAnsi="Verdana"/>
          <w:sz w:val="24"/>
          <w:szCs w:val="24"/>
        </w:rPr>
        <w:t xml:space="preserve">Therefore, in view of the foregoing discussion, it is humbly prayed that the applications filed by ECOM and ECIL may kindly be rejected without prejudice to the </w:t>
      </w:r>
      <w:r w:rsidR="007C5B2F" w:rsidRPr="006574B9">
        <w:rPr>
          <w:rFonts w:ascii="Verdana" w:hAnsi="Verdana"/>
          <w:sz w:val="24"/>
          <w:szCs w:val="24"/>
        </w:rPr>
        <w:t>submission which would be made in respect of bar contained in item (iii) of the proviso to Section 245R (2) of the Act</w:t>
      </w:r>
      <w:r w:rsidR="0006432B">
        <w:rPr>
          <w:rFonts w:ascii="Verdana" w:hAnsi="Verdana"/>
          <w:sz w:val="24"/>
          <w:szCs w:val="24"/>
        </w:rPr>
        <w:t xml:space="preserve"> as well on the aspect touching upon the claim of benefit being claimed under Article 13, Paragraph (4) of the Double Taxation Avoidance agreement between India and Mauritius.</w:t>
      </w:r>
    </w:p>
    <w:p w14:paraId="66E3A78D" w14:textId="5389005F" w:rsidR="00FF7B9C" w:rsidRDefault="00FF7B9C" w:rsidP="000B2085">
      <w:pPr>
        <w:ind w:left="720" w:right="-188"/>
        <w:jc w:val="center"/>
        <w:rPr>
          <w:rFonts w:ascii="Verdana" w:hAnsi="Verdana"/>
          <w:b/>
          <w:sz w:val="24"/>
          <w:szCs w:val="24"/>
          <w:u w:val="single"/>
        </w:rPr>
      </w:pPr>
      <w:r w:rsidRPr="00FF7B9C">
        <w:rPr>
          <w:rFonts w:ascii="Verdana" w:hAnsi="Verdana"/>
          <w:b/>
          <w:sz w:val="24"/>
          <w:szCs w:val="24"/>
          <w:u w:val="single"/>
        </w:rPr>
        <w:t>Part-B</w:t>
      </w:r>
    </w:p>
    <w:p w14:paraId="733EA792" w14:textId="74F8A581" w:rsidR="00FE486E" w:rsidRDefault="00FE486E" w:rsidP="00FE486E">
      <w:pPr>
        <w:ind w:left="720" w:right="-188"/>
        <w:rPr>
          <w:rFonts w:ascii="Verdana" w:hAnsi="Verdana"/>
          <w:sz w:val="24"/>
          <w:szCs w:val="24"/>
        </w:rPr>
      </w:pPr>
      <w:r>
        <w:rPr>
          <w:rFonts w:ascii="Verdana" w:hAnsi="Verdana"/>
          <w:sz w:val="24"/>
          <w:szCs w:val="24"/>
        </w:rPr>
        <w:t>This part of the submission shall be covering, without prejudice to the issues dealt with in earlier Part-A of this submission, following issues: -</w:t>
      </w:r>
    </w:p>
    <w:p w14:paraId="7C8BCABA" w14:textId="71499BBE" w:rsidR="00FE486E" w:rsidRDefault="00FE486E" w:rsidP="00FE486E">
      <w:pPr>
        <w:ind w:left="720" w:right="-188"/>
        <w:rPr>
          <w:rFonts w:ascii="Verdana" w:hAnsi="Verdana"/>
          <w:sz w:val="24"/>
          <w:szCs w:val="24"/>
        </w:rPr>
      </w:pPr>
      <w:r>
        <w:rPr>
          <w:rFonts w:ascii="Verdana" w:hAnsi="Verdana"/>
          <w:sz w:val="24"/>
          <w:szCs w:val="24"/>
        </w:rPr>
        <w:t>1.</w:t>
      </w:r>
      <w:r w:rsidR="00475F20">
        <w:rPr>
          <w:rFonts w:ascii="Verdana" w:hAnsi="Verdana"/>
          <w:sz w:val="24"/>
          <w:szCs w:val="24"/>
        </w:rPr>
        <w:t xml:space="preserve"> </w:t>
      </w:r>
      <w:r>
        <w:rPr>
          <w:rFonts w:ascii="Verdana" w:hAnsi="Verdana"/>
          <w:sz w:val="24"/>
          <w:szCs w:val="24"/>
        </w:rPr>
        <w:t>Whether the transaction leading to the sale of shares of Vodafone Essar Ltd by the two applicants to EPSL would be hit by item (iii) of the 1</w:t>
      </w:r>
      <w:r w:rsidRPr="00FE486E">
        <w:rPr>
          <w:rFonts w:ascii="Verdana" w:hAnsi="Verdana"/>
          <w:sz w:val="24"/>
          <w:szCs w:val="24"/>
          <w:vertAlign w:val="superscript"/>
        </w:rPr>
        <w:t>st</w:t>
      </w:r>
      <w:r>
        <w:rPr>
          <w:rFonts w:ascii="Verdana" w:hAnsi="Verdana"/>
          <w:sz w:val="24"/>
          <w:szCs w:val="24"/>
        </w:rPr>
        <w:t xml:space="preserve"> proviso to section 245R (2) of the Act, that is, transaction or issue which is designed prima facie for the avoidance of income-tax?,</w:t>
      </w:r>
    </w:p>
    <w:p w14:paraId="41091FFD" w14:textId="385007D7" w:rsidR="00FE486E" w:rsidRDefault="00FE486E" w:rsidP="00FE486E">
      <w:pPr>
        <w:ind w:left="720" w:right="-188"/>
        <w:rPr>
          <w:rFonts w:ascii="Verdana" w:hAnsi="Verdana"/>
          <w:sz w:val="24"/>
          <w:szCs w:val="24"/>
        </w:rPr>
      </w:pPr>
      <w:r>
        <w:rPr>
          <w:rFonts w:ascii="Verdana" w:hAnsi="Verdana"/>
          <w:sz w:val="24"/>
          <w:szCs w:val="24"/>
        </w:rPr>
        <w:t>2.</w:t>
      </w:r>
      <w:r w:rsidR="00475F20">
        <w:rPr>
          <w:rFonts w:ascii="Verdana" w:hAnsi="Verdana"/>
          <w:sz w:val="24"/>
          <w:szCs w:val="24"/>
        </w:rPr>
        <w:t xml:space="preserve"> </w:t>
      </w:r>
      <w:r>
        <w:rPr>
          <w:rFonts w:ascii="Verdana" w:hAnsi="Verdana"/>
          <w:sz w:val="24"/>
          <w:szCs w:val="24"/>
        </w:rPr>
        <w:t>Whether the capital gains earned by or arising to the two applicants would be chargeable to tax in India as against the exemption claimed by the two applicants in terms of paragraph (4) of Article 13 of the Double Taxation Avoidance Agreement (“DTAA”, in short) entered into by the Republic of India and the Republic of Mauritius?; and</w:t>
      </w:r>
    </w:p>
    <w:p w14:paraId="20C65D5E" w14:textId="343D8CD1" w:rsidR="00FE486E" w:rsidRDefault="00475F20" w:rsidP="00FE486E">
      <w:pPr>
        <w:ind w:left="720" w:right="-188"/>
        <w:rPr>
          <w:rFonts w:ascii="Verdana" w:hAnsi="Verdana"/>
          <w:sz w:val="24"/>
          <w:szCs w:val="24"/>
        </w:rPr>
      </w:pPr>
      <w:r>
        <w:rPr>
          <w:rFonts w:ascii="Verdana" w:hAnsi="Verdana"/>
          <w:sz w:val="24"/>
          <w:szCs w:val="24"/>
        </w:rPr>
        <w:t>3. With</w:t>
      </w:r>
      <w:r w:rsidR="00FE486E">
        <w:rPr>
          <w:rFonts w:ascii="Verdana" w:hAnsi="Verdana"/>
          <w:sz w:val="24"/>
          <w:szCs w:val="24"/>
        </w:rPr>
        <w:t xml:space="preserve"> reference to issue at serial number (2) above, an allied issue would arise in the context of </w:t>
      </w:r>
      <w:r>
        <w:rPr>
          <w:rFonts w:ascii="Verdana" w:hAnsi="Verdana"/>
          <w:sz w:val="24"/>
          <w:szCs w:val="24"/>
        </w:rPr>
        <w:t>“residence” of the two applicant-companies as provided in Paragraph (3) of Article 4 of the DTAA. This would include the issue of “control and management” of the applicant-companies.</w:t>
      </w:r>
      <w:r w:rsidR="00FE486E">
        <w:rPr>
          <w:rFonts w:ascii="Verdana" w:hAnsi="Verdana"/>
          <w:sz w:val="24"/>
          <w:szCs w:val="24"/>
        </w:rPr>
        <w:t xml:space="preserve">   </w:t>
      </w:r>
    </w:p>
    <w:p w14:paraId="516884E5" w14:textId="330A3C5C" w:rsidR="006A5ADE" w:rsidRDefault="006A5ADE" w:rsidP="00FE486E">
      <w:pPr>
        <w:ind w:left="720" w:right="-188"/>
        <w:rPr>
          <w:rFonts w:ascii="Verdana" w:hAnsi="Verdana"/>
          <w:sz w:val="24"/>
          <w:szCs w:val="24"/>
        </w:rPr>
      </w:pPr>
      <w:r>
        <w:rPr>
          <w:rFonts w:ascii="Verdana" w:hAnsi="Verdana"/>
          <w:sz w:val="24"/>
          <w:szCs w:val="24"/>
        </w:rPr>
        <w:t>In order to appreciate these issues, it is considered appropriate to first set out the transaction and the issues as a whole beginning from the period when Essar group became interested to engage itself in telecom business.</w:t>
      </w:r>
      <w:r w:rsidR="008D310E">
        <w:rPr>
          <w:rFonts w:ascii="Verdana" w:hAnsi="Verdana"/>
          <w:sz w:val="24"/>
          <w:szCs w:val="24"/>
        </w:rPr>
        <w:t xml:space="preserve"> This study would be relevant, particularly in the context of words used in item (iii) of 1</w:t>
      </w:r>
      <w:r w:rsidR="008D310E" w:rsidRPr="008D310E">
        <w:rPr>
          <w:rFonts w:ascii="Verdana" w:hAnsi="Verdana"/>
          <w:sz w:val="24"/>
          <w:szCs w:val="24"/>
          <w:vertAlign w:val="superscript"/>
        </w:rPr>
        <w:t>st</w:t>
      </w:r>
      <w:r w:rsidR="008D310E">
        <w:rPr>
          <w:rFonts w:ascii="Verdana" w:hAnsi="Verdana"/>
          <w:sz w:val="24"/>
          <w:szCs w:val="24"/>
        </w:rPr>
        <w:t xml:space="preserve"> proviso to section 245R (2) of the Act, which is reproduced as under:</w:t>
      </w:r>
    </w:p>
    <w:p w14:paraId="6EDD18B8" w14:textId="2C05649E" w:rsidR="008D310E" w:rsidRDefault="008D310E" w:rsidP="00FE486E">
      <w:pPr>
        <w:ind w:left="720" w:right="-188"/>
        <w:rPr>
          <w:rFonts w:ascii="Verdana" w:hAnsi="Verdana"/>
          <w:sz w:val="24"/>
          <w:szCs w:val="24"/>
        </w:rPr>
      </w:pPr>
      <w:r>
        <w:rPr>
          <w:rFonts w:ascii="Verdana" w:hAnsi="Verdana"/>
          <w:sz w:val="24"/>
          <w:szCs w:val="24"/>
        </w:rPr>
        <w:t xml:space="preserve">“Provided that the Authority shall not allow the application where the question raised in the application- </w:t>
      </w:r>
    </w:p>
    <w:p w14:paraId="1E8D410D" w14:textId="0F211147" w:rsidR="008D310E" w:rsidRDefault="008D310E" w:rsidP="00FE486E">
      <w:pPr>
        <w:ind w:left="720" w:right="-188"/>
        <w:rPr>
          <w:rFonts w:ascii="Verdana" w:hAnsi="Verdana"/>
          <w:sz w:val="24"/>
          <w:szCs w:val="24"/>
        </w:rPr>
      </w:pPr>
      <w:r>
        <w:rPr>
          <w:rFonts w:ascii="Verdana" w:hAnsi="Verdana"/>
          <w:sz w:val="24"/>
          <w:szCs w:val="24"/>
        </w:rPr>
        <w:t>(i)………..;</w:t>
      </w:r>
    </w:p>
    <w:p w14:paraId="04D682BF" w14:textId="38437660" w:rsidR="008D310E" w:rsidRDefault="008D310E" w:rsidP="00FE486E">
      <w:pPr>
        <w:ind w:left="720" w:right="-188"/>
        <w:rPr>
          <w:rFonts w:ascii="Verdana" w:hAnsi="Verdana"/>
          <w:sz w:val="24"/>
          <w:szCs w:val="24"/>
        </w:rPr>
      </w:pPr>
      <w:r>
        <w:rPr>
          <w:rFonts w:ascii="Verdana" w:hAnsi="Verdana"/>
          <w:sz w:val="24"/>
          <w:szCs w:val="24"/>
        </w:rPr>
        <w:lastRenderedPageBreak/>
        <w:t>(ii)………….;</w:t>
      </w:r>
    </w:p>
    <w:p w14:paraId="0DEF2EBE" w14:textId="77777777" w:rsidR="000573A2" w:rsidRDefault="008D310E" w:rsidP="000573A2">
      <w:pPr>
        <w:ind w:left="720" w:right="-188"/>
        <w:rPr>
          <w:rFonts w:ascii="Verdana" w:hAnsi="Verdana"/>
          <w:sz w:val="24"/>
          <w:szCs w:val="24"/>
        </w:rPr>
      </w:pPr>
      <w:r>
        <w:rPr>
          <w:rFonts w:ascii="Verdana" w:hAnsi="Verdana"/>
          <w:sz w:val="24"/>
          <w:szCs w:val="24"/>
        </w:rPr>
        <w:t xml:space="preserve">(iii) </w:t>
      </w:r>
      <w:r w:rsidR="000573A2">
        <w:rPr>
          <w:rFonts w:ascii="Verdana" w:hAnsi="Verdana"/>
          <w:sz w:val="24"/>
          <w:szCs w:val="24"/>
        </w:rPr>
        <w:t>Relates</w:t>
      </w:r>
      <w:r>
        <w:rPr>
          <w:rFonts w:ascii="Verdana" w:hAnsi="Verdana"/>
          <w:sz w:val="24"/>
          <w:szCs w:val="24"/>
        </w:rPr>
        <w:t xml:space="preserve"> to </w:t>
      </w:r>
      <w:r w:rsidRPr="000573A2">
        <w:rPr>
          <w:rFonts w:ascii="Verdana" w:hAnsi="Verdana"/>
          <w:b/>
          <w:sz w:val="24"/>
          <w:szCs w:val="24"/>
        </w:rPr>
        <w:t xml:space="preserve">a transaction or issue </w:t>
      </w:r>
      <w:r>
        <w:rPr>
          <w:rFonts w:ascii="Verdana" w:hAnsi="Verdana"/>
          <w:sz w:val="24"/>
          <w:szCs w:val="24"/>
        </w:rPr>
        <w:t>which is designed prima facie for the avoidance of income-tax</w:t>
      </w:r>
      <w:r w:rsidR="000573A2">
        <w:rPr>
          <w:rFonts w:ascii="Verdana" w:hAnsi="Verdana"/>
          <w:sz w:val="24"/>
          <w:szCs w:val="24"/>
        </w:rPr>
        <w:t>………..”</w:t>
      </w:r>
    </w:p>
    <w:p w14:paraId="7C9A65C2" w14:textId="1E45617B" w:rsidR="000573A2" w:rsidRDefault="000573A2" w:rsidP="000573A2">
      <w:pPr>
        <w:ind w:left="720" w:right="-188"/>
        <w:rPr>
          <w:rFonts w:ascii="Verdana" w:hAnsi="Verdana"/>
          <w:sz w:val="24"/>
          <w:szCs w:val="24"/>
        </w:rPr>
      </w:pPr>
      <w:r>
        <w:rPr>
          <w:rFonts w:ascii="Verdana" w:hAnsi="Verdana"/>
          <w:sz w:val="24"/>
          <w:szCs w:val="24"/>
        </w:rPr>
        <w:t>Let us see what is the claim of the two applicants which is made in their respective returns of income. Capital gains shown</w:t>
      </w:r>
      <w:r w:rsidR="00785554">
        <w:rPr>
          <w:rFonts w:ascii="Verdana" w:hAnsi="Verdana"/>
          <w:sz w:val="24"/>
          <w:szCs w:val="24"/>
        </w:rPr>
        <w:t xml:space="preserve"> by the applicants is enclosed h.</w:t>
      </w:r>
      <w:bookmarkStart w:id="7" w:name="_GoBack"/>
      <w:bookmarkEnd w:id="7"/>
      <w:r w:rsidR="00785554">
        <w:rPr>
          <w:rFonts w:ascii="Verdana" w:hAnsi="Verdana"/>
          <w:sz w:val="24"/>
          <w:szCs w:val="24"/>
        </w:rPr>
        <w:t>erewith as Annexure--------</w:t>
      </w:r>
    </w:p>
    <w:p w14:paraId="1D7426D8" w14:textId="77777777" w:rsidR="000573A2" w:rsidRPr="00FE486E" w:rsidRDefault="000573A2" w:rsidP="00FE486E">
      <w:pPr>
        <w:ind w:left="720" w:right="-188"/>
        <w:rPr>
          <w:rFonts w:ascii="Verdana" w:hAnsi="Verdana"/>
          <w:sz w:val="24"/>
          <w:szCs w:val="24"/>
        </w:rPr>
      </w:pPr>
    </w:p>
    <w:p w14:paraId="772503F2" w14:textId="77777777" w:rsidR="009045E7" w:rsidRDefault="009045E7" w:rsidP="000100F6">
      <w:pPr>
        <w:pStyle w:val="ListParagraph"/>
        <w:ind w:left="1080" w:right="-188"/>
        <w:rPr>
          <w:rFonts w:ascii="Verdana" w:hAnsi="Verdana"/>
          <w:sz w:val="24"/>
          <w:szCs w:val="24"/>
        </w:rPr>
      </w:pPr>
    </w:p>
    <w:p w14:paraId="62155352" w14:textId="74EE52BC" w:rsidR="00076D4D" w:rsidRDefault="00076D4D" w:rsidP="000100F6">
      <w:pPr>
        <w:pStyle w:val="ListParagraph"/>
        <w:ind w:left="1080" w:right="-188"/>
        <w:rPr>
          <w:rFonts w:ascii="Verdana" w:hAnsi="Verdana"/>
          <w:sz w:val="24"/>
          <w:szCs w:val="24"/>
        </w:rPr>
      </w:pPr>
    </w:p>
    <w:p w14:paraId="4370C672" w14:textId="77777777" w:rsidR="00076D4D" w:rsidRPr="00076D4D" w:rsidRDefault="00076D4D" w:rsidP="00076D4D"/>
    <w:p w14:paraId="554C823E" w14:textId="77777777" w:rsidR="00076D4D" w:rsidRPr="00076D4D" w:rsidRDefault="00076D4D" w:rsidP="00076D4D"/>
    <w:p w14:paraId="30083642" w14:textId="77777777" w:rsidR="00076D4D" w:rsidRPr="00076D4D" w:rsidRDefault="00076D4D" w:rsidP="00076D4D"/>
    <w:p w14:paraId="61184641" w14:textId="77777777" w:rsidR="00076D4D" w:rsidRPr="00076D4D" w:rsidRDefault="00076D4D" w:rsidP="00076D4D"/>
    <w:p w14:paraId="304BAFDD" w14:textId="77777777" w:rsidR="00076D4D" w:rsidRPr="00076D4D" w:rsidRDefault="00076D4D" w:rsidP="00076D4D"/>
    <w:p w14:paraId="27D2B7B7" w14:textId="77777777" w:rsidR="00076D4D" w:rsidRPr="00076D4D" w:rsidRDefault="00076D4D" w:rsidP="00076D4D"/>
    <w:p w14:paraId="75E8F718" w14:textId="59DEB82D" w:rsidR="00076D4D" w:rsidRDefault="00076D4D" w:rsidP="00076D4D"/>
    <w:p w14:paraId="504C883D" w14:textId="23136999" w:rsidR="009045E7" w:rsidRPr="00076D4D" w:rsidRDefault="00076D4D" w:rsidP="00076D4D">
      <w:pPr>
        <w:tabs>
          <w:tab w:val="left" w:pos="7425"/>
        </w:tabs>
      </w:pPr>
      <w:r>
        <w:tab/>
      </w:r>
    </w:p>
    <w:sectPr w:rsidR="009045E7" w:rsidRPr="00076D4D" w:rsidSect="00B73FA1">
      <w:footerReference w:type="default" r:id="rId8"/>
      <w:pgSz w:w="11906" w:h="16838"/>
      <w:pgMar w:top="630" w:right="1196" w:bottom="72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1A8E3" w14:textId="77777777" w:rsidR="00943407" w:rsidRDefault="00943407" w:rsidP="0078187F">
      <w:pPr>
        <w:spacing w:after="0" w:line="240" w:lineRule="auto"/>
      </w:pPr>
      <w:r>
        <w:separator/>
      </w:r>
    </w:p>
  </w:endnote>
  <w:endnote w:type="continuationSeparator" w:id="0">
    <w:p w14:paraId="31C74D2A" w14:textId="77777777" w:rsidR="00943407" w:rsidRDefault="00943407" w:rsidP="0078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762668"/>
      <w:docPartObj>
        <w:docPartGallery w:val="Page Numbers (Bottom of Page)"/>
        <w:docPartUnique/>
      </w:docPartObj>
    </w:sdtPr>
    <w:sdtEndPr>
      <w:rPr>
        <w:noProof/>
      </w:rPr>
    </w:sdtEndPr>
    <w:sdtContent>
      <w:p w14:paraId="52564D70" w14:textId="29364B1B" w:rsidR="00E40239" w:rsidRDefault="00E40239">
        <w:pPr>
          <w:pStyle w:val="Footer"/>
          <w:jc w:val="center"/>
        </w:pPr>
        <w:r>
          <w:fldChar w:fldCharType="begin"/>
        </w:r>
        <w:r>
          <w:instrText xml:space="preserve"> PAGE   \* MERGEFORMAT </w:instrText>
        </w:r>
        <w:r>
          <w:fldChar w:fldCharType="separate"/>
        </w:r>
        <w:r w:rsidR="00785554">
          <w:rPr>
            <w:noProof/>
          </w:rPr>
          <w:t>21</w:t>
        </w:r>
        <w:r>
          <w:rPr>
            <w:noProof/>
          </w:rPr>
          <w:fldChar w:fldCharType="end"/>
        </w:r>
      </w:p>
    </w:sdtContent>
  </w:sdt>
  <w:p w14:paraId="23A080FB" w14:textId="77777777" w:rsidR="0078187F" w:rsidRDefault="007818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04A83" w14:textId="77777777" w:rsidR="00943407" w:rsidRDefault="00943407" w:rsidP="0078187F">
      <w:pPr>
        <w:spacing w:after="0" w:line="240" w:lineRule="auto"/>
      </w:pPr>
      <w:r>
        <w:separator/>
      </w:r>
    </w:p>
  </w:footnote>
  <w:footnote w:type="continuationSeparator" w:id="0">
    <w:p w14:paraId="3467D02B" w14:textId="77777777" w:rsidR="00943407" w:rsidRDefault="00943407" w:rsidP="007818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80AB4"/>
    <w:multiLevelType w:val="hybridMultilevel"/>
    <w:tmpl w:val="75A47C42"/>
    <w:lvl w:ilvl="0" w:tplc="868E574C">
      <w:start w:val="1"/>
      <w:numFmt w:val="decimal"/>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DD71B18"/>
    <w:multiLevelType w:val="hybridMultilevel"/>
    <w:tmpl w:val="17545556"/>
    <w:lvl w:ilvl="0" w:tplc="5A7CC424">
      <w:start w:val="1"/>
      <w:numFmt w:val="decimal"/>
      <w:lvlText w:val="%1."/>
      <w:lvlJc w:val="left"/>
      <w:pPr>
        <w:ind w:left="1440" w:hanging="360"/>
      </w:pPr>
      <w:rPr>
        <w:rFonts w:ascii="Verdana" w:eastAsiaTheme="minorHAnsi" w:hAnsi="Verdana" w:cstheme="minorBidi"/>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130257B8"/>
    <w:multiLevelType w:val="hybridMultilevel"/>
    <w:tmpl w:val="094C27CC"/>
    <w:lvl w:ilvl="0" w:tplc="2760E140">
      <w:start w:val="1"/>
      <w:numFmt w:val="lowerLetter"/>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1D061E63"/>
    <w:multiLevelType w:val="hybridMultilevel"/>
    <w:tmpl w:val="BDA61EA4"/>
    <w:lvl w:ilvl="0" w:tplc="FFEE0900">
      <w:start w:val="1"/>
      <w:numFmt w:val="lowerLetter"/>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nsid w:val="22B81755"/>
    <w:multiLevelType w:val="hybridMultilevel"/>
    <w:tmpl w:val="5F7EE264"/>
    <w:lvl w:ilvl="0" w:tplc="EEC23AC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2DF6E03"/>
    <w:multiLevelType w:val="hybridMultilevel"/>
    <w:tmpl w:val="12C460F4"/>
    <w:lvl w:ilvl="0" w:tplc="201079B8">
      <w:start w:val="1"/>
      <w:numFmt w:val="lowerLetter"/>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23ED7813"/>
    <w:multiLevelType w:val="hybridMultilevel"/>
    <w:tmpl w:val="CCBAB246"/>
    <w:lvl w:ilvl="0" w:tplc="B7968E18">
      <w:start w:val="1"/>
      <w:numFmt w:val="lowerRoman"/>
      <w:lvlText w:val="(%1)"/>
      <w:lvlJc w:val="left"/>
      <w:pPr>
        <w:ind w:left="3240" w:hanging="1080"/>
      </w:pPr>
      <w:rPr>
        <w:rFonts w:hint="default"/>
        <w:b w:val="0"/>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7">
    <w:nsid w:val="25B958A7"/>
    <w:multiLevelType w:val="hybridMultilevel"/>
    <w:tmpl w:val="09208BCC"/>
    <w:lvl w:ilvl="0" w:tplc="AB5EE3C2">
      <w:start w:val="1"/>
      <w:numFmt w:val="lowerLetter"/>
      <w:lvlText w:val="(%1)"/>
      <w:lvlJc w:val="left"/>
      <w:pPr>
        <w:ind w:left="2520" w:hanging="72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8">
    <w:nsid w:val="265E2AE4"/>
    <w:multiLevelType w:val="hybridMultilevel"/>
    <w:tmpl w:val="0728EB82"/>
    <w:lvl w:ilvl="0" w:tplc="FDA06E46">
      <w:start w:val="1"/>
      <w:numFmt w:val="lowerLetter"/>
      <w:lvlText w:val="(%1)"/>
      <w:lvlJc w:val="left"/>
      <w:pPr>
        <w:ind w:left="2160" w:hanging="720"/>
      </w:pPr>
      <w:rPr>
        <w:rFonts w:hint="default"/>
        <w:b/>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
    <w:nsid w:val="29B11A51"/>
    <w:multiLevelType w:val="hybridMultilevel"/>
    <w:tmpl w:val="8772A62C"/>
    <w:lvl w:ilvl="0" w:tplc="CFB05252">
      <w:start w:val="1"/>
      <w:numFmt w:val="lowerRoman"/>
      <w:lvlText w:val="(%1)"/>
      <w:lvlJc w:val="left"/>
      <w:pPr>
        <w:ind w:left="2520" w:hanging="108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0">
    <w:nsid w:val="2DCC169C"/>
    <w:multiLevelType w:val="hybridMultilevel"/>
    <w:tmpl w:val="E60CEF50"/>
    <w:lvl w:ilvl="0" w:tplc="787C91B6">
      <w:start w:val="3"/>
      <w:numFmt w:val="decimal"/>
      <w:lvlText w:val="%1."/>
      <w:lvlJc w:val="left"/>
      <w:pPr>
        <w:ind w:left="1440" w:hanging="360"/>
      </w:pPr>
      <w:rPr>
        <w:rFonts w:hint="default"/>
        <w:b/>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nsid w:val="325C3BD8"/>
    <w:multiLevelType w:val="hybridMultilevel"/>
    <w:tmpl w:val="226E202A"/>
    <w:lvl w:ilvl="0" w:tplc="42F662AE">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365C2B7C"/>
    <w:multiLevelType w:val="multilevel"/>
    <w:tmpl w:val="F09E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6B6DFB"/>
    <w:multiLevelType w:val="hybridMultilevel"/>
    <w:tmpl w:val="C1160EDE"/>
    <w:lvl w:ilvl="0" w:tplc="807202B8">
      <w:start w:val="1"/>
      <w:numFmt w:val="lowerRoman"/>
      <w:lvlText w:val="(%1)"/>
      <w:lvlJc w:val="left"/>
      <w:pPr>
        <w:ind w:left="2160" w:hanging="108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nsid w:val="69E36CF4"/>
    <w:multiLevelType w:val="hybridMultilevel"/>
    <w:tmpl w:val="05307568"/>
    <w:lvl w:ilvl="0" w:tplc="8A58C4A8">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nsid w:val="7BF6566A"/>
    <w:multiLevelType w:val="hybridMultilevel"/>
    <w:tmpl w:val="6468864E"/>
    <w:lvl w:ilvl="0" w:tplc="DBD4DD1E">
      <w:start w:val="2"/>
      <w:numFmt w:val="lowerLetter"/>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abstractNumId w:val="0"/>
  </w:num>
  <w:num w:numId="2">
    <w:abstractNumId w:val="1"/>
  </w:num>
  <w:num w:numId="3">
    <w:abstractNumId w:val="11"/>
  </w:num>
  <w:num w:numId="4">
    <w:abstractNumId w:val="15"/>
  </w:num>
  <w:num w:numId="5">
    <w:abstractNumId w:val="13"/>
  </w:num>
  <w:num w:numId="6">
    <w:abstractNumId w:val="9"/>
  </w:num>
  <w:num w:numId="7">
    <w:abstractNumId w:val="10"/>
  </w:num>
  <w:num w:numId="8">
    <w:abstractNumId w:val="14"/>
  </w:num>
  <w:num w:numId="9">
    <w:abstractNumId w:val="2"/>
  </w:num>
  <w:num w:numId="10">
    <w:abstractNumId w:val="7"/>
  </w:num>
  <w:num w:numId="11">
    <w:abstractNumId w:val="8"/>
  </w:num>
  <w:num w:numId="12">
    <w:abstractNumId w:val="5"/>
  </w:num>
  <w:num w:numId="13">
    <w:abstractNumId w:val="6"/>
  </w:num>
  <w:num w:numId="14">
    <w:abstractNumId w:val="3"/>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F94"/>
    <w:rsid w:val="00003FC1"/>
    <w:rsid w:val="000100F6"/>
    <w:rsid w:val="00014E84"/>
    <w:rsid w:val="00027227"/>
    <w:rsid w:val="00043137"/>
    <w:rsid w:val="000573A2"/>
    <w:rsid w:val="0006432B"/>
    <w:rsid w:val="00070A74"/>
    <w:rsid w:val="00076D4D"/>
    <w:rsid w:val="0009188A"/>
    <w:rsid w:val="00096F0F"/>
    <w:rsid w:val="000A1C33"/>
    <w:rsid w:val="000A4B39"/>
    <w:rsid w:val="000A66E9"/>
    <w:rsid w:val="000B2085"/>
    <w:rsid w:val="000B5F00"/>
    <w:rsid w:val="000D1765"/>
    <w:rsid w:val="000E0C82"/>
    <w:rsid w:val="000E2F79"/>
    <w:rsid w:val="000F0190"/>
    <w:rsid w:val="00112FB4"/>
    <w:rsid w:val="0011452F"/>
    <w:rsid w:val="00126482"/>
    <w:rsid w:val="0014091D"/>
    <w:rsid w:val="00174BD1"/>
    <w:rsid w:val="00181657"/>
    <w:rsid w:val="001A3A85"/>
    <w:rsid w:val="001C01F4"/>
    <w:rsid w:val="001F441C"/>
    <w:rsid w:val="0020114E"/>
    <w:rsid w:val="0021267E"/>
    <w:rsid w:val="002154FF"/>
    <w:rsid w:val="00224EA3"/>
    <w:rsid w:val="00226CD4"/>
    <w:rsid w:val="00234176"/>
    <w:rsid w:val="002439DF"/>
    <w:rsid w:val="00244233"/>
    <w:rsid w:val="0026208F"/>
    <w:rsid w:val="00263C9D"/>
    <w:rsid w:val="00266D93"/>
    <w:rsid w:val="002920FC"/>
    <w:rsid w:val="00295C0C"/>
    <w:rsid w:val="0029685F"/>
    <w:rsid w:val="002A175C"/>
    <w:rsid w:val="002B4E16"/>
    <w:rsid w:val="002D0AA3"/>
    <w:rsid w:val="002E083A"/>
    <w:rsid w:val="002E1786"/>
    <w:rsid w:val="002F1B5D"/>
    <w:rsid w:val="003155C2"/>
    <w:rsid w:val="00322449"/>
    <w:rsid w:val="003354C0"/>
    <w:rsid w:val="003449EA"/>
    <w:rsid w:val="00357F61"/>
    <w:rsid w:val="003646C6"/>
    <w:rsid w:val="00367D2A"/>
    <w:rsid w:val="003A00F3"/>
    <w:rsid w:val="003A1C0E"/>
    <w:rsid w:val="003C4A7C"/>
    <w:rsid w:val="003C52D1"/>
    <w:rsid w:val="003E6118"/>
    <w:rsid w:val="003F5903"/>
    <w:rsid w:val="0043397B"/>
    <w:rsid w:val="00434B60"/>
    <w:rsid w:val="00450BE8"/>
    <w:rsid w:val="00460BCA"/>
    <w:rsid w:val="00475F20"/>
    <w:rsid w:val="004913E1"/>
    <w:rsid w:val="00491635"/>
    <w:rsid w:val="004A1F53"/>
    <w:rsid w:val="004B093F"/>
    <w:rsid w:val="004B680E"/>
    <w:rsid w:val="004C569C"/>
    <w:rsid w:val="004C68E7"/>
    <w:rsid w:val="004D6293"/>
    <w:rsid w:val="004E0020"/>
    <w:rsid w:val="004E2EC4"/>
    <w:rsid w:val="00504992"/>
    <w:rsid w:val="005064D1"/>
    <w:rsid w:val="00507027"/>
    <w:rsid w:val="00521985"/>
    <w:rsid w:val="0052441D"/>
    <w:rsid w:val="00536079"/>
    <w:rsid w:val="00557F25"/>
    <w:rsid w:val="00570A39"/>
    <w:rsid w:val="005813A7"/>
    <w:rsid w:val="00583395"/>
    <w:rsid w:val="00594794"/>
    <w:rsid w:val="005965F1"/>
    <w:rsid w:val="005A56D7"/>
    <w:rsid w:val="005B0425"/>
    <w:rsid w:val="005B3A74"/>
    <w:rsid w:val="005F4489"/>
    <w:rsid w:val="00604937"/>
    <w:rsid w:val="00610E80"/>
    <w:rsid w:val="006254F7"/>
    <w:rsid w:val="00631C9C"/>
    <w:rsid w:val="00650863"/>
    <w:rsid w:val="006574B9"/>
    <w:rsid w:val="00663935"/>
    <w:rsid w:val="006A5ADE"/>
    <w:rsid w:val="006B78BA"/>
    <w:rsid w:val="006D5879"/>
    <w:rsid w:val="007037D2"/>
    <w:rsid w:val="00721544"/>
    <w:rsid w:val="0072305C"/>
    <w:rsid w:val="00726910"/>
    <w:rsid w:val="00746C7D"/>
    <w:rsid w:val="007677FE"/>
    <w:rsid w:val="00772ECB"/>
    <w:rsid w:val="0078187F"/>
    <w:rsid w:val="00785554"/>
    <w:rsid w:val="007A0543"/>
    <w:rsid w:val="007B0267"/>
    <w:rsid w:val="007C5B2F"/>
    <w:rsid w:val="007E58B2"/>
    <w:rsid w:val="007F6783"/>
    <w:rsid w:val="00814DDD"/>
    <w:rsid w:val="00846635"/>
    <w:rsid w:val="00851D56"/>
    <w:rsid w:val="00861B94"/>
    <w:rsid w:val="0086232F"/>
    <w:rsid w:val="00873BBC"/>
    <w:rsid w:val="00874095"/>
    <w:rsid w:val="00896588"/>
    <w:rsid w:val="008B0700"/>
    <w:rsid w:val="008C6712"/>
    <w:rsid w:val="008C7E65"/>
    <w:rsid w:val="008D310E"/>
    <w:rsid w:val="008E7A4F"/>
    <w:rsid w:val="008F1157"/>
    <w:rsid w:val="008F7067"/>
    <w:rsid w:val="0090055C"/>
    <w:rsid w:val="009045E7"/>
    <w:rsid w:val="009142B4"/>
    <w:rsid w:val="009215B3"/>
    <w:rsid w:val="00935F1A"/>
    <w:rsid w:val="00943407"/>
    <w:rsid w:val="00950E90"/>
    <w:rsid w:val="00966EEE"/>
    <w:rsid w:val="00967070"/>
    <w:rsid w:val="00975059"/>
    <w:rsid w:val="00975123"/>
    <w:rsid w:val="0097674C"/>
    <w:rsid w:val="00977DB3"/>
    <w:rsid w:val="00977DBA"/>
    <w:rsid w:val="009960BB"/>
    <w:rsid w:val="00996D01"/>
    <w:rsid w:val="009A1551"/>
    <w:rsid w:val="009A2AF5"/>
    <w:rsid w:val="009C2B38"/>
    <w:rsid w:val="009C376E"/>
    <w:rsid w:val="009D22FD"/>
    <w:rsid w:val="009D3BB5"/>
    <w:rsid w:val="009E299A"/>
    <w:rsid w:val="009E5C9C"/>
    <w:rsid w:val="009F7BC7"/>
    <w:rsid w:val="00A07AE0"/>
    <w:rsid w:val="00A24727"/>
    <w:rsid w:val="00A322D6"/>
    <w:rsid w:val="00A376AF"/>
    <w:rsid w:val="00A479F0"/>
    <w:rsid w:val="00A5149E"/>
    <w:rsid w:val="00A529C2"/>
    <w:rsid w:val="00A56AB1"/>
    <w:rsid w:val="00A56DB7"/>
    <w:rsid w:val="00A57C8F"/>
    <w:rsid w:val="00A90C62"/>
    <w:rsid w:val="00AA3F94"/>
    <w:rsid w:val="00AB22BF"/>
    <w:rsid w:val="00AB79C5"/>
    <w:rsid w:val="00B01A51"/>
    <w:rsid w:val="00B13E85"/>
    <w:rsid w:val="00B313B9"/>
    <w:rsid w:val="00B3222E"/>
    <w:rsid w:val="00B34C3F"/>
    <w:rsid w:val="00B36962"/>
    <w:rsid w:val="00B4202D"/>
    <w:rsid w:val="00B42DB5"/>
    <w:rsid w:val="00B51D7E"/>
    <w:rsid w:val="00B64E07"/>
    <w:rsid w:val="00B73FA1"/>
    <w:rsid w:val="00B7763E"/>
    <w:rsid w:val="00BB262D"/>
    <w:rsid w:val="00BB45B3"/>
    <w:rsid w:val="00BB47F7"/>
    <w:rsid w:val="00BB56C7"/>
    <w:rsid w:val="00BB580E"/>
    <w:rsid w:val="00BD2F3F"/>
    <w:rsid w:val="00C0158A"/>
    <w:rsid w:val="00C037DD"/>
    <w:rsid w:val="00C05F89"/>
    <w:rsid w:val="00C119CA"/>
    <w:rsid w:val="00C176C1"/>
    <w:rsid w:val="00C23666"/>
    <w:rsid w:val="00C46340"/>
    <w:rsid w:val="00C6114F"/>
    <w:rsid w:val="00C763F8"/>
    <w:rsid w:val="00C8294C"/>
    <w:rsid w:val="00CA3CE2"/>
    <w:rsid w:val="00CA776E"/>
    <w:rsid w:val="00CE7E3A"/>
    <w:rsid w:val="00CF2475"/>
    <w:rsid w:val="00D0775A"/>
    <w:rsid w:val="00D3333F"/>
    <w:rsid w:val="00D40417"/>
    <w:rsid w:val="00D429B1"/>
    <w:rsid w:val="00D56B00"/>
    <w:rsid w:val="00D71EF8"/>
    <w:rsid w:val="00D91B3A"/>
    <w:rsid w:val="00DB0C65"/>
    <w:rsid w:val="00DB5755"/>
    <w:rsid w:val="00DC7AC8"/>
    <w:rsid w:val="00DE5403"/>
    <w:rsid w:val="00E01107"/>
    <w:rsid w:val="00E03B0A"/>
    <w:rsid w:val="00E06A52"/>
    <w:rsid w:val="00E143AB"/>
    <w:rsid w:val="00E14A0F"/>
    <w:rsid w:val="00E20790"/>
    <w:rsid w:val="00E27C67"/>
    <w:rsid w:val="00E34CFC"/>
    <w:rsid w:val="00E34D0E"/>
    <w:rsid w:val="00E36684"/>
    <w:rsid w:val="00E40239"/>
    <w:rsid w:val="00E46A96"/>
    <w:rsid w:val="00E55043"/>
    <w:rsid w:val="00E7502A"/>
    <w:rsid w:val="00E909D4"/>
    <w:rsid w:val="00E91051"/>
    <w:rsid w:val="00EC1834"/>
    <w:rsid w:val="00EF2A11"/>
    <w:rsid w:val="00F06EB8"/>
    <w:rsid w:val="00F27D2F"/>
    <w:rsid w:val="00F4182A"/>
    <w:rsid w:val="00F42255"/>
    <w:rsid w:val="00F42426"/>
    <w:rsid w:val="00F43A2A"/>
    <w:rsid w:val="00F601C3"/>
    <w:rsid w:val="00F608A7"/>
    <w:rsid w:val="00F65F6C"/>
    <w:rsid w:val="00F833CD"/>
    <w:rsid w:val="00F8669E"/>
    <w:rsid w:val="00FA0725"/>
    <w:rsid w:val="00FC2A48"/>
    <w:rsid w:val="00FD30DD"/>
    <w:rsid w:val="00FE486E"/>
    <w:rsid w:val="00FF7B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A9BB"/>
  <w15:chartTrackingRefBased/>
  <w15:docId w15:val="{2BD09369-AE5A-4FC6-9DDA-7B4C1CFD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5C2"/>
    <w:pPr>
      <w:ind w:left="720"/>
      <w:contextualSpacing/>
    </w:pPr>
  </w:style>
  <w:style w:type="paragraph" w:styleId="Header">
    <w:name w:val="header"/>
    <w:basedOn w:val="Normal"/>
    <w:link w:val="HeaderChar"/>
    <w:uiPriority w:val="99"/>
    <w:unhideWhenUsed/>
    <w:rsid w:val="00781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87F"/>
  </w:style>
  <w:style w:type="paragraph" w:styleId="Footer">
    <w:name w:val="footer"/>
    <w:basedOn w:val="Normal"/>
    <w:link w:val="FooterChar"/>
    <w:uiPriority w:val="99"/>
    <w:unhideWhenUsed/>
    <w:rsid w:val="007818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87F"/>
  </w:style>
  <w:style w:type="table" w:styleId="TableGrid">
    <w:name w:val="Table Grid"/>
    <w:basedOn w:val="TableNormal"/>
    <w:uiPriority w:val="39"/>
    <w:rsid w:val="00EF2A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D5879"/>
    <w:rPr>
      <w:sz w:val="16"/>
      <w:szCs w:val="16"/>
    </w:rPr>
  </w:style>
  <w:style w:type="paragraph" w:styleId="CommentText">
    <w:name w:val="annotation text"/>
    <w:basedOn w:val="Normal"/>
    <w:link w:val="CommentTextChar"/>
    <w:uiPriority w:val="99"/>
    <w:semiHidden/>
    <w:unhideWhenUsed/>
    <w:rsid w:val="006D5879"/>
    <w:pPr>
      <w:spacing w:line="240" w:lineRule="auto"/>
    </w:pPr>
    <w:rPr>
      <w:sz w:val="20"/>
      <w:szCs w:val="20"/>
    </w:rPr>
  </w:style>
  <w:style w:type="character" w:customStyle="1" w:styleId="CommentTextChar">
    <w:name w:val="Comment Text Char"/>
    <w:basedOn w:val="DefaultParagraphFont"/>
    <w:link w:val="CommentText"/>
    <w:uiPriority w:val="99"/>
    <w:semiHidden/>
    <w:rsid w:val="006D5879"/>
    <w:rPr>
      <w:sz w:val="20"/>
      <w:szCs w:val="20"/>
    </w:rPr>
  </w:style>
  <w:style w:type="paragraph" w:styleId="CommentSubject">
    <w:name w:val="annotation subject"/>
    <w:basedOn w:val="CommentText"/>
    <w:next w:val="CommentText"/>
    <w:link w:val="CommentSubjectChar"/>
    <w:uiPriority w:val="99"/>
    <w:semiHidden/>
    <w:unhideWhenUsed/>
    <w:rsid w:val="006D5879"/>
    <w:rPr>
      <w:b/>
      <w:bCs/>
    </w:rPr>
  </w:style>
  <w:style w:type="character" w:customStyle="1" w:styleId="CommentSubjectChar">
    <w:name w:val="Comment Subject Char"/>
    <w:basedOn w:val="CommentTextChar"/>
    <w:link w:val="CommentSubject"/>
    <w:uiPriority w:val="99"/>
    <w:semiHidden/>
    <w:rsid w:val="006D5879"/>
    <w:rPr>
      <w:b/>
      <w:bCs/>
      <w:sz w:val="20"/>
      <w:szCs w:val="20"/>
    </w:rPr>
  </w:style>
  <w:style w:type="paragraph" w:styleId="BalloonText">
    <w:name w:val="Balloon Text"/>
    <w:basedOn w:val="Normal"/>
    <w:link w:val="BalloonTextChar"/>
    <w:uiPriority w:val="99"/>
    <w:semiHidden/>
    <w:unhideWhenUsed/>
    <w:rsid w:val="006D5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879"/>
    <w:rPr>
      <w:rFonts w:ascii="Segoe UI" w:hAnsi="Segoe UI" w:cs="Segoe UI"/>
      <w:sz w:val="18"/>
      <w:szCs w:val="18"/>
    </w:rPr>
  </w:style>
  <w:style w:type="paragraph" w:styleId="NormalWeb">
    <w:name w:val="Normal (Web)"/>
    <w:basedOn w:val="Normal"/>
    <w:uiPriority w:val="99"/>
    <w:unhideWhenUsed/>
    <w:rsid w:val="0029685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5058">
      <w:bodyDiv w:val="1"/>
      <w:marLeft w:val="0"/>
      <w:marRight w:val="0"/>
      <w:marTop w:val="0"/>
      <w:marBottom w:val="0"/>
      <w:divBdr>
        <w:top w:val="none" w:sz="0" w:space="0" w:color="auto"/>
        <w:left w:val="none" w:sz="0" w:space="0" w:color="auto"/>
        <w:bottom w:val="none" w:sz="0" w:space="0" w:color="auto"/>
        <w:right w:val="none" w:sz="0" w:space="0" w:color="auto"/>
      </w:divBdr>
      <w:divsChild>
        <w:div w:id="1919096631">
          <w:marLeft w:val="0"/>
          <w:marRight w:val="0"/>
          <w:marTop w:val="1005"/>
          <w:marBottom w:val="0"/>
          <w:divBdr>
            <w:top w:val="none" w:sz="0" w:space="0" w:color="auto"/>
            <w:left w:val="none" w:sz="0" w:space="0" w:color="auto"/>
            <w:bottom w:val="none" w:sz="0" w:space="0" w:color="auto"/>
            <w:right w:val="none" w:sz="0" w:space="0" w:color="auto"/>
          </w:divBdr>
          <w:divsChild>
            <w:div w:id="1863667247">
              <w:marLeft w:val="0"/>
              <w:marRight w:val="0"/>
              <w:marTop w:val="225"/>
              <w:marBottom w:val="0"/>
              <w:divBdr>
                <w:top w:val="none" w:sz="0" w:space="0" w:color="auto"/>
                <w:left w:val="none" w:sz="0" w:space="0" w:color="auto"/>
                <w:bottom w:val="none" w:sz="0" w:space="0" w:color="auto"/>
                <w:right w:val="none" w:sz="0" w:space="0" w:color="auto"/>
              </w:divBdr>
              <w:divsChild>
                <w:div w:id="1535776199">
                  <w:marLeft w:val="300"/>
                  <w:marRight w:val="300"/>
                  <w:marTop w:val="300"/>
                  <w:marBottom w:val="300"/>
                  <w:divBdr>
                    <w:top w:val="none" w:sz="0" w:space="0" w:color="auto"/>
                    <w:left w:val="none" w:sz="0" w:space="0" w:color="auto"/>
                    <w:bottom w:val="none" w:sz="0" w:space="0" w:color="auto"/>
                    <w:right w:val="none" w:sz="0" w:space="0" w:color="auto"/>
                  </w:divBdr>
                  <w:divsChild>
                    <w:div w:id="964853514">
                      <w:marLeft w:val="0"/>
                      <w:marRight w:val="0"/>
                      <w:marTop w:val="0"/>
                      <w:marBottom w:val="0"/>
                      <w:divBdr>
                        <w:top w:val="none" w:sz="0" w:space="0" w:color="auto"/>
                        <w:left w:val="none" w:sz="0" w:space="0" w:color="auto"/>
                        <w:bottom w:val="none" w:sz="0" w:space="0" w:color="auto"/>
                        <w:right w:val="none" w:sz="0" w:space="0" w:color="auto"/>
                      </w:divBdr>
                      <w:divsChild>
                        <w:div w:id="836923661">
                          <w:marLeft w:val="0"/>
                          <w:marRight w:val="0"/>
                          <w:marTop w:val="0"/>
                          <w:marBottom w:val="0"/>
                          <w:divBdr>
                            <w:top w:val="none" w:sz="0" w:space="0" w:color="auto"/>
                            <w:left w:val="none" w:sz="0" w:space="0" w:color="auto"/>
                            <w:bottom w:val="none" w:sz="0" w:space="0" w:color="auto"/>
                            <w:right w:val="none" w:sz="0" w:space="0" w:color="auto"/>
                          </w:divBdr>
                          <w:divsChild>
                            <w:div w:id="7751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7905">
          <w:marLeft w:val="0"/>
          <w:marRight w:val="0"/>
          <w:marTop w:val="0"/>
          <w:marBottom w:val="0"/>
          <w:divBdr>
            <w:top w:val="none" w:sz="0" w:space="0" w:color="auto"/>
            <w:left w:val="none" w:sz="0" w:space="0" w:color="auto"/>
            <w:bottom w:val="none" w:sz="0" w:space="0" w:color="auto"/>
            <w:right w:val="none" w:sz="0" w:space="0" w:color="auto"/>
          </w:divBdr>
          <w:divsChild>
            <w:div w:id="656497778">
              <w:marLeft w:val="0"/>
              <w:marRight w:val="0"/>
              <w:marTop w:val="0"/>
              <w:marBottom w:val="0"/>
              <w:divBdr>
                <w:top w:val="none" w:sz="0" w:space="0" w:color="auto"/>
                <w:left w:val="none" w:sz="0" w:space="0" w:color="auto"/>
                <w:bottom w:val="none" w:sz="0" w:space="0" w:color="auto"/>
                <w:right w:val="none" w:sz="0" w:space="0" w:color="auto"/>
              </w:divBdr>
              <w:divsChild>
                <w:div w:id="194923319">
                  <w:marLeft w:val="0"/>
                  <w:marRight w:val="0"/>
                  <w:marTop w:val="0"/>
                  <w:marBottom w:val="0"/>
                  <w:divBdr>
                    <w:top w:val="none" w:sz="0" w:space="0" w:color="auto"/>
                    <w:left w:val="none" w:sz="0" w:space="0" w:color="auto"/>
                    <w:bottom w:val="none" w:sz="0" w:space="0" w:color="auto"/>
                    <w:right w:val="none" w:sz="0" w:space="0" w:color="auto"/>
                  </w:divBdr>
                  <w:divsChild>
                    <w:div w:id="138352909">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60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8134</Words>
  <Characters>46370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girishdav@hotmail.com</dc:creator>
  <cp:keywords/>
  <dc:description/>
  <cp:lastModifiedBy>Dell</cp:lastModifiedBy>
  <cp:revision>3</cp:revision>
  <dcterms:created xsi:type="dcterms:W3CDTF">2019-09-20T18:13:00Z</dcterms:created>
  <dcterms:modified xsi:type="dcterms:W3CDTF">2019-09-20T18:19:00Z</dcterms:modified>
</cp:coreProperties>
</file>