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B3" w:rsidRDefault="00EC74B3">
      <w:pPr>
        <w:pStyle w:val="Title"/>
        <w:spacing w:line="360" w:lineRule="auto"/>
        <w:rPr>
          <w:sz w:val="24"/>
          <w:lang w:val="en-GB"/>
        </w:rPr>
      </w:pPr>
    </w:p>
    <w:p w:rsidR="00EC74B3" w:rsidRDefault="00EC74B3">
      <w:pPr>
        <w:pStyle w:val="Title"/>
        <w:spacing w:line="360" w:lineRule="auto"/>
        <w:rPr>
          <w:sz w:val="24"/>
          <w:lang w:val="en-GB"/>
        </w:rPr>
      </w:pPr>
      <w:r>
        <w:rPr>
          <w:sz w:val="24"/>
          <w:lang w:val="en-GB"/>
        </w:rPr>
        <w:t>Chapter I</w:t>
      </w:r>
    </w:p>
    <w:p w:rsidR="00EC74B3" w:rsidRDefault="00EC74B3">
      <w:pPr>
        <w:pStyle w:val="Title"/>
        <w:spacing w:line="360" w:lineRule="auto"/>
        <w:rPr>
          <w:sz w:val="24"/>
          <w:lang w:val="en-GB"/>
        </w:rPr>
      </w:pPr>
      <w:r>
        <w:rPr>
          <w:sz w:val="24"/>
          <w:lang w:val="en-GB"/>
        </w:rPr>
        <w:t>INTRODUCTION</w:t>
      </w:r>
    </w:p>
    <w:p w:rsidR="00EC74B3" w:rsidRDefault="00EC74B3">
      <w:pPr>
        <w:spacing w:line="360" w:lineRule="auto"/>
        <w:jc w:val="both"/>
      </w:pPr>
      <w:r>
        <w:rPr>
          <w:b/>
          <w:bCs/>
        </w:rPr>
        <w:t>1.1</w:t>
      </w:r>
      <w:r>
        <w:rPr>
          <w:b/>
          <w:bCs/>
        </w:rPr>
        <w:tab/>
      </w:r>
      <w:r>
        <w:t xml:space="preserve">Twentieth Century saw integration of the world economy on an unprecedented scale leading to the emergence of a Global Economy. Advancement in technology, speed and reliability in communication and transport accelerated this process of globalisation. Initially, international trade consisted mainly of import and export of raw material and finished goods. However, as the movement of labour and capital became easier, it became cost effective to undertake business activities in locations where labour and capital would give the best return. This, in turn, led to the emergence of multinational enterprises (MNEs) with associates (both fully and partially owned) in different parts of the world, carrying on business on a gigantic scale.  </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1.2</w:t>
      </w:r>
      <w:r>
        <w:rPr>
          <w:rFonts w:ascii="Times New Roman" w:hAnsi="Times New Roman" w:cs="Times New Roman"/>
          <w:sz w:val="24"/>
          <w:lang w:val="en-GB"/>
        </w:rPr>
        <w:tab/>
        <w:t xml:space="preserve">The range of activities of MNEs has widened from simple trading of goods and services to foreign markets, to investing abroad to undertake or organise production internationally.  This has been achieved through a wide variety of formats such as foreign direct investment (FDI), cross-border intra-firm trade etc. Due to their presence in a number of countries, MNEs acquire advantageous positions compared to purely domestic enterprises.  They are able to take advantage of interest rate, cost, tax and tariff differentials for raising cheaper capital.  As a result, in recent years MNEs have come to play a dominant role in international trade, accounting for more than 50 per cent of international transactions. Another important feature of an MNE system is that the members of the MNE share the research and development efforts. They pool their resources and skill for undertaking costly or highly skilled research. Consequently, MNEs are also serving as conduit of technology and related skills. </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1.3</w:t>
      </w:r>
      <w:r>
        <w:rPr>
          <w:rFonts w:ascii="Times New Roman" w:hAnsi="Times New Roman" w:cs="Times New Roman"/>
          <w:sz w:val="24"/>
          <w:lang w:val="en-GB"/>
        </w:rPr>
        <w:tab/>
        <w:t>Coupled with the growth of MNEs there has been substantial increase in intra-firm trade. These transactions create an internal market for the flow of goods and services within an MNE system. The growing volume of intra-firm transactions is throwing up new and complex issues, which are drawing attention of both managers of MNEs and policy makers in governments. The most important of these issues is fixation of price of any transaction between entities of an MNE system. Like any transaction between independent enterprises, management of a firm in an MNE system has to fix a price for an intra-firm transaction. This price is known as ‘transfer price’ and the process of determination of this price is known as ‘transfer pricing’.</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lastRenderedPageBreak/>
        <w:t>1.4</w:t>
      </w:r>
      <w:r>
        <w:rPr>
          <w:rFonts w:ascii="Times New Roman" w:hAnsi="Times New Roman" w:cs="Times New Roman"/>
          <w:sz w:val="24"/>
          <w:lang w:val="en-GB"/>
        </w:rPr>
        <w:t xml:space="preserve"> </w:t>
      </w:r>
      <w:r>
        <w:rPr>
          <w:rFonts w:ascii="Times New Roman" w:hAnsi="Times New Roman" w:cs="Times New Roman"/>
          <w:sz w:val="24"/>
          <w:lang w:val="en-GB"/>
        </w:rPr>
        <w:tab/>
        <w:t xml:space="preserve">Hence, transfer prices, per se, are amounts charged by one associate of an MNE for goods or services that it supplies to another associate of the same MNE. In this sense, transfer pricing is a management tool that enables managers to decide whether to buy or sell goods and services inside or outside the group. </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1.5</w:t>
      </w:r>
      <w:r>
        <w:rPr>
          <w:rFonts w:ascii="Times New Roman" w:hAnsi="Times New Roman" w:cs="Times New Roman"/>
          <w:sz w:val="24"/>
          <w:lang w:val="en-GB"/>
        </w:rPr>
        <w:tab/>
        <w:t xml:space="preserve">However, the matter is not always as simple or straightforward as that. There are several factors, which are known to influence the seemingly internal and therefore innocuous matter of transfer prices. Findings of certain studies, focused on transfer pricing abuses in individual countries or within specific industries, show that MNEs are inclined to take advantage of the opportunities that exist for transfer pricing manipulations. </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1.6</w:t>
      </w:r>
      <w:r>
        <w:rPr>
          <w:rFonts w:ascii="Times New Roman" w:hAnsi="Times New Roman" w:cs="Times New Roman"/>
          <w:sz w:val="24"/>
          <w:lang w:val="en-GB"/>
        </w:rPr>
        <w:tab/>
        <w:t xml:space="preserve">The transfer pricing decisions within an enterprise located in only one tax jurisdiction would not affect overall post-tax profitability of that enterprise, and to this extent transfer pricing is a ‘neutral concept’. But when associates of an MNE are located in different countries, the transfer pricing decisions may be influenced by tax considerations, which, in turn, will affect the tax base of the countries. In such </w:t>
      </w:r>
      <w:proofErr w:type="gramStart"/>
      <w:r>
        <w:rPr>
          <w:rFonts w:ascii="Times New Roman" w:hAnsi="Times New Roman" w:cs="Times New Roman"/>
          <w:sz w:val="24"/>
          <w:lang w:val="en-GB"/>
        </w:rPr>
        <w:t>circumstances</w:t>
      </w:r>
      <w:proofErr w:type="gramEnd"/>
      <w:r>
        <w:rPr>
          <w:rFonts w:ascii="Times New Roman" w:hAnsi="Times New Roman" w:cs="Times New Roman"/>
          <w:sz w:val="24"/>
          <w:lang w:val="en-GB"/>
        </w:rPr>
        <w:t>, transfer pricing decisions are not the outcome of natural market operations and these decisions provide ample scope to MNEs to shuffle profits across the globe. In view of advances in communication and technology, international movement of goods, services and finance have become much easier and quicker making transfer pricing manipulations easier. Obviously, higher is the tax rate differential, greater would be temptation to manipulate transfer prices.</w:t>
      </w:r>
    </w:p>
    <w:p w:rsidR="00EC74B3" w:rsidRDefault="00EC74B3">
      <w:pPr>
        <w:pStyle w:val="BodyText"/>
        <w:spacing w:line="360" w:lineRule="auto"/>
        <w:jc w:val="both"/>
        <w:rPr>
          <w:rFonts w:ascii="Times New Roman" w:hAnsi="Times New Roman" w:cs="Times New Roman"/>
          <w:bCs/>
          <w:color w:val="000000"/>
          <w:sz w:val="24"/>
          <w:lang w:val="en-GB"/>
        </w:rPr>
      </w:pPr>
      <w:r>
        <w:rPr>
          <w:rFonts w:ascii="Times New Roman" w:hAnsi="Times New Roman" w:cs="Times New Roman"/>
          <w:b/>
          <w:bCs/>
          <w:sz w:val="24"/>
          <w:lang w:val="en-GB"/>
        </w:rPr>
        <w:t>1.7</w:t>
      </w:r>
      <w:r>
        <w:rPr>
          <w:rFonts w:ascii="Times New Roman" w:hAnsi="Times New Roman" w:cs="Times New Roman"/>
          <w:sz w:val="24"/>
          <w:lang w:val="en-GB"/>
        </w:rPr>
        <w:tab/>
        <w:t>Thus, tax authorities fear that MNEs “use” transfer pricing as an instrument of global profit optimisation. They argue that transfer pricing provides opportunities to MNEs to shift profits from a high tax country to a low tax regime. Consequently, developed countries have introduced special legislation on transfer pricing. In fact, t</w:t>
      </w:r>
      <w:r>
        <w:rPr>
          <w:rFonts w:ascii="Times New Roman" w:hAnsi="Times New Roman" w:cs="Times New Roman"/>
          <w:bCs/>
          <w:color w:val="000000"/>
          <w:sz w:val="24"/>
          <w:lang w:val="en-GB"/>
        </w:rPr>
        <w:t>ransfer pricing has come to be recognised as one of the key international tax issues by multinationals as well as tax authorities. Ernst &amp; Young, in its global survey on transfer pricing have observed that of more than 400 MNEs from 12 countries, 81% of such MNEs regarded transfer pricing as an important issue and 52% considered it the single most important issue that they were likely to face during the next two years.</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color w:val="000000"/>
          <w:sz w:val="24"/>
          <w:lang w:val="en-GB"/>
        </w:rPr>
        <w:t>1.8</w:t>
      </w:r>
      <w:r>
        <w:rPr>
          <w:rFonts w:ascii="Times New Roman" w:hAnsi="Times New Roman" w:cs="Times New Roman"/>
          <w:bCs/>
          <w:color w:val="000000"/>
          <w:sz w:val="24"/>
          <w:lang w:val="en-GB"/>
        </w:rPr>
        <w:tab/>
        <w:t xml:space="preserve">Alarmed by the ability of MNEs to manipulate tax liability, the US introduced comprehensive transfer pricing legislation backed by a detailed regulation and enthusiastic tax administration. This has been followed by the UK, Canada Australia etc. In order that there may be uniformity in appreciation of various issues relating to </w:t>
      </w:r>
      <w:r>
        <w:rPr>
          <w:rFonts w:ascii="Times New Roman" w:hAnsi="Times New Roman" w:cs="Times New Roman"/>
          <w:bCs/>
          <w:color w:val="000000"/>
          <w:sz w:val="24"/>
          <w:lang w:val="en-GB"/>
        </w:rPr>
        <w:lastRenderedPageBreak/>
        <w:t>transfer pricing the OECD has been issuing guidelines from time to time, which is adopted by most of the developed countries while designing transfer pricing system most suitable to them.</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1.9</w:t>
      </w:r>
      <w:r>
        <w:rPr>
          <w:rFonts w:ascii="Times New Roman" w:hAnsi="Times New Roman" w:cs="Times New Roman"/>
          <w:sz w:val="24"/>
          <w:lang w:val="en-GB"/>
        </w:rPr>
        <w:tab/>
        <w:t xml:space="preserve">In the recent time, economies of developing countries are getting integrated into the world economy. They are no longer merely supplier of raw materials. Rather, due to low labour costs and a friendly tax regime they are attracting investment by MNEs. Consequently, developing countries are likely to face transfer pricing manipulation in the absence of a comprehensive transfer pricing system. However, economic </w:t>
      </w:r>
      <w:proofErr w:type="gramStart"/>
      <w:r>
        <w:rPr>
          <w:rFonts w:ascii="Times New Roman" w:hAnsi="Times New Roman" w:cs="Times New Roman"/>
          <w:sz w:val="24"/>
          <w:lang w:val="en-GB"/>
        </w:rPr>
        <w:t>sense demand</w:t>
      </w:r>
      <w:proofErr w:type="gramEnd"/>
      <w:r>
        <w:rPr>
          <w:rFonts w:ascii="Times New Roman" w:hAnsi="Times New Roman" w:cs="Times New Roman"/>
          <w:sz w:val="24"/>
          <w:lang w:val="en-GB"/>
        </w:rPr>
        <w:t xml:space="preserve"> that they should be very careful while introducing comprehensive legislation on transfer pricing. A tough legislation may drive away valuable foreign investment and technology, while a lame duck attempt would adversely affect country’s revenue.  </w:t>
      </w:r>
    </w:p>
    <w:p w:rsidR="00EC74B3" w:rsidRDefault="00EC74B3">
      <w:pPr>
        <w:spacing w:line="360" w:lineRule="auto"/>
        <w:jc w:val="both"/>
      </w:pPr>
      <w:r>
        <w:rPr>
          <w:b/>
          <w:bCs/>
        </w:rPr>
        <w:t>1.10</w:t>
      </w:r>
      <w:r>
        <w:tab/>
        <w:t xml:space="preserve">The Indian economy witnessed a major restructuring and opening up since 1990-91. There has been a spurt in inflow of foreign direct investment (FDI) into India.  The most rapid growth has been since 1993 and yearly inflow of FDI has increased nearly 30 times. As a consequence, multinational enterprises’ presence has also increased substantially. It is therefore imperative for tax authorities to closely look as transfer pricing issues in international transactions with associated enterprise.  </w:t>
      </w:r>
    </w:p>
    <w:p w:rsidR="00EC74B3" w:rsidRDefault="00EC74B3">
      <w:pPr>
        <w:spacing w:line="360" w:lineRule="auto"/>
        <w:jc w:val="both"/>
      </w:pPr>
      <w:r>
        <w:rPr>
          <w:b/>
          <w:bCs/>
        </w:rPr>
        <w:t xml:space="preserve">1.10.1 </w:t>
      </w:r>
      <w:r>
        <w:t>As on today section 92 of the Income Tax Act, 1961 is the only provision which deals with transfer pricing cases in cross border transaction. The provision is basically an anti avoidance measure and has been in existence for more than five decades. There have been very few decided cases on the subject as in earlier years the foreign direct investment was not substantial mainly due to controlled economy and also because the existing provisions was not sufficient to deal the disputed issues. The major shortcomings of section 92 are as under:</w:t>
      </w:r>
    </w:p>
    <w:p w:rsidR="00EC74B3" w:rsidRDefault="00EC74B3" w:rsidP="005077F7">
      <w:pPr>
        <w:numPr>
          <w:ilvl w:val="0"/>
          <w:numId w:val="30"/>
        </w:numPr>
        <w:spacing w:line="360" w:lineRule="auto"/>
        <w:jc w:val="both"/>
      </w:pPr>
      <w:r>
        <w:t>The scope of the section is not wide enough to cover the case of Intangible and services.</w:t>
      </w:r>
    </w:p>
    <w:p w:rsidR="00EC74B3" w:rsidRDefault="00EC74B3" w:rsidP="005077F7">
      <w:pPr>
        <w:numPr>
          <w:ilvl w:val="0"/>
          <w:numId w:val="30"/>
        </w:numPr>
        <w:spacing w:line="360" w:lineRule="auto"/>
        <w:jc w:val="both"/>
      </w:pPr>
      <w:r>
        <w:t>The section applies to transaction between a resident and non-resident.  Thus, if a non-resident enters into a transaction with another non-resident the provision would not apply. Further, it provides for enhancement on in the case of residents, hence, non-resident’s income cannot be enhanced.</w:t>
      </w:r>
    </w:p>
    <w:p w:rsidR="00EC74B3" w:rsidRDefault="00EC74B3" w:rsidP="005077F7">
      <w:pPr>
        <w:numPr>
          <w:ilvl w:val="0"/>
          <w:numId w:val="30"/>
        </w:numPr>
        <w:spacing w:line="360" w:lineRule="auto"/>
        <w:jc w:val="both"/>
      </w:pPr>
      <w:r>
        <w:t>The provision applies only when a business is carried on between two closely connected enterprises. Thus, it is doubtful that the provision can apply to a one-time transaction between associated enterprises.</w:t>
      </w:r>
    </w:p>
    <w:p w:rsidR="00EC74B3" w:rsidRDefault="00EC74B3" w:rsidP="005077F7">
      <w:pPr>
        <w:numPr>
          <w:ilvl w:val="0"/>
          <w:numId w:val="30"/>
        </w:numPr>
        <w:spacing w:line="360" w:lineRule="auto"/>
        <w:jc w:val="both"/>
      </w:pPr>
      <w:r>
        <w:lastRenderedPageBreak/>
        <w:t>The emphasis is on the ‘profit’ rather than adjustment of prices or income. The rules prescribed for determining profits are again not scientific.</w:t>
      </w:r>
    </w:p>
    <w:p w:rsidR="00EC74B3" w:rsidRDefault="00EC74B3" w:rsidP="005077F7">
      <w:pPr>
        <w:numPr>
          <w:ilvl w:val="0"/>
          <w:numId w:val="30"/>
        </w:numPr>
        <w:spacing w:line="360" w:lineRule="auto"/>
        <w:jc w:val="both"/>
      </w:pPr>
      <w:r>
        <w:t xml:space="preserve">The term “close connection” is not defined and as such arbitrariness is brought in applying the provisions. </w:t>
      </w:r>
    </w:p>
    <w:p w:rsidR="00EC74B3" w:rsidRDefault="00EC74B3" w:rsidP="005077F7">
      <w:pPr>
        <w:numPr>
          <w:ilvl w:val="0"/>
          <w:numId w:val="30"/>
        </w:numPr>
        <w:spacing w:line="360" w:lineRule="auto"/>
        <w:jc w:val="both"/>
      </w:pPr>
      <w:r>
        <w:t>There are no detailed rules concerning documentation requirements.</w:t>
      </w:r>
    </w:p>
    <w:p w:rsidR="00EC74B3" w:rsidRDefault="00EC74B3">
      <w:pPr>
        <w:spacing w:line="360" w:lineRule="auto"/>
        <w:ind w:left="360"/>
        <w:jc w:val="both"/>
      </w:pPr>
      <w:r>
        <w:t>Considering that India has no regulations on the subject of transfer pricing, the Government of India in November 1999 an Expert Croup to examine the existing provisions and suggest appropriate changes in legal framework.  The terms of reference of the Group are as under:</w:t>
      </w:r>
    </w:p>
    <w:p w:rsidR="00EC74B3" w:rsidRDefault="00EC74B3" w:rsidP="005077F7">
      <w:pPr>
        <w:numPr>
          <w:ilvl w:val="1"/>
          <w:numId w:val="30"/>
        </w:numPr>
        <w:spacing w:line="360" w:lineRule="auto"/>
        <w:jc w:val="both"/>
      </w:pPr>
      <w:r>
        <w:t>Whether the present provisions in the Income Tax Act, 1961/Tax Treaties negotiated with most of the countries are sufficient to deal with the Transfer Pricing resorted to by Multinational National Corporation etc.</w:t>
      </w:r>
    </w:p>
    <w:p w:rsidR="00EC74B3" w:rsidRDefault="00EC74B3" w:rsidP="005077F7">
      <w:pPr>
        <w:numPr>
          <w:ilvl w:val="1"/>
          <w:numId w:val="30"/>
        </w:numPr>
        <w:spacing w:line="360" w:lineRule="auto"/>
        <w:jc w:val="both"/>
      </w:pPr>
      <w:r>
        <w:t xml:space="preserve">If the answer to Question No. (i) </w:t>
      </w:r>
      <w:proofErr w:type="gramStart"/>
      <w:r>
        <w:t>is</w:t>
      </w:r>
      <w:proofErr w:type="gramEnd"/>
      <w:r>
        <w:t xml:space="preserve"> in negative, what changes in the law/rules are required?</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The Group, which is headed by Shri Raj Narain, Member, Central Board of Direct Taxes, consists of the following other members: -</w:t>
      </w:r>
    </w:p>
    <w:p w:rsidR="00EC74B3" w:rsidRDefault="00EC74B3" w:rsidP="005077F7">
      <w:pPr>
        <w:pStyle w:val="BodyText"/>
        <w:numPr>
          <w:ilvl w:val="2"/>
          <w:numId w:val="30"/>
        </w:numPr>
        <w:spacing w:line="360" w:lineRule="auto"/>
        <w:jc w:val="both"/>
        <w:rPr>
          <w:rFonts w:ascii="Times New Roman" w:hAnsi="Times New Roman" w:cs="Times New Roman"/>
          <w:sz w:val="24"/>
          <w:lang w:val="en-GB"/>
        </w:rPr>
      </w:pPr>
      <w:r>
        <w:rPr>
          <w:rFonts w:ascii="Times New Roman" w:hAnsi="Times New Roman" w:cs="Times New Roman"/>
          <w:sz w:val="24"/>
          <w:lang w:val="en-GB"/>
        </w:rPr>
        <w:t>Shri V. S. Wahi, Commissioner of Income Tax, Mumbai,</w:t>
      </w:r>
    </w:p>
    <w:p w:rsidR="00EC74B3" w:rsidRDefault="00EC74B3" w:rsidP="005077F7">
      <w:pPr>
        <w:pStyle w:val="BodyText"/>
        <w:numPr>
          <w:ilvl w:val="2"/>
          <w:numId w:val="30"/>
        </w:numPr>
        <w:spacing w:line="360" w:lineRule="auto"/>
        <w:jc w:val="both"/>
        <w:rPr>
          <w:rFonts w:ascii="Times New Roman" w:hAnsi="Times New Roman" w:cs="Times New Roman"/>
          <w:sz w:val="24"/>
          <w:lang w:val="en-GB"/>
        </w:rPr>
      </w:pPr>
      <w:r>
        <w:rPr>
          <w:rFonts w:ascii="Times New Roman" w:hAnsi="Times New Roman" w:cs="Times New Roman"/>
          <w:sz w:val="24"/>
          <w:lang w:val="en-GB"/>
        </w:rPr>
        <w:t>Shri D. K. Das, Commissioner of Income Tax, Kolkata,</w:t>
      </w:r>
    </w:p>
    <w:p w:rsidR="00EC74B3" w:rsidRDefault="00EC74B3" w:rsidP="005077F7">
      <w:pPr>
        <w:pStyle w:val="BodyText"/>
        <w:numPr>
          <w:ilvl w:val="2"/>
          <w:numId w:val="30"/>
        </w:numPr>
        <w:spacing w:line="360" w:lineRule="auto"/>
        <w:jc w:val="both"/>
        <w:rPr>
          <w:rFonts w:ascii="Times New Roman" w:hAnsi="Times New Roman" w:cs="Times New Roman"/>
          <w:sz w:val="24"/>
          <w:lang w:val="en-GB"/>
        </w:rPr>
      </w:pPr>
      <w:r>
        <w:rPr>
          <w:rFonts w:ascii="Times New Roman" w:hAnsi="Times New Roman" w:cs="Times New Roman"/>
          <w:sz w:val="24"/>
          <w:lang w:val="en-GB"/>
        </w:rPr>
        <w:t>Shri P. K. Sridharan, Member Appropriate Authority, Chennai,</w:t>
      </w:r>
    </w:p>
    <w:p w:rsidR="00EC74B3" w:rsidRDefault="00EC74B3" w:rsidP="005077F7">
      <w:pPr>
        <w:pStyle w:val="BodyText"/>
        <w:numPr>
          <w:ilvl w:val="2"/>
          <w:numId w:val="30"/>
        </w:numPr>
        <w:spacing w:line="360" w:lineRule="auto"/>
        <w:jc w:val="both"/>
        <w:rPr>
          <w:rFonts w:ascii="Times New Roman" w:hAnsi="Times New Roman" w:cs="Times New Roman"/>
          <w:sz w:val="24"/>
          <w:lang w:val="en-GB"/>
        </w:rPr>
      </w:pPr>
      <w:r>
        <w:rPr>
          <w:rFonts w:ascii="Times New Roman" w:hAnsi="Times New Roman" w:cs="Times New Roman"/>
          <w:sz w:val="24"/>
          <w:lang w:val="en-GB"/>
        </w:rPr>
        <w:t>Shri S. P. Singh, Additional Commissioner of Income Tax, Delhi</w:t>
      </w:r>
    </w:p>
    <w:p w:rsidR="00EC74B3" w:rsidRDefault="00EC74B3" w:rsidP="005077F7">
      <w:pPr>
        <w:pStyle w:val="BodyText"/>
        <w:numPr>
          <w:ilvl w:val="2"/>
          <w:numId w:val="30"/>
        </w:numPr>
        <w:spacing w:line="360" w:lineRule="auto"/>
        <w:jc w:val="both"/>
        <w:rPr>
          <w:rFonts w:ascii="Times New Roman" w:hAnsi="Times New Roman" w:cs="Times New Roman"/>
          <w:sz w:val="24"/>
          <w:lang w:val="en-GB"/>
        </w:rPr>
      </w:pPr>
      <w:r>
        <w:rPr>
          <w:rFonts w:ascii="Times New Roman" w:hAnsi="Times New Roman" w:cs="Times New Roman"/>
          <w:sz w:val="24"/>
          <w:lang w:val="en-GB"/>
        </w:rPr>
        <w:t>Shri T.P. Ostwal, Chartered Accountant, Mumbai.</w:t>
      </w:r>
    </w:p>
    <w:p w:rsidR="00EC74B3" w:rsidRDefault="00EC74B3">
      <w:pPr>
        <w:pStyle w:val="BodyText"/>
        <w:spacing w:line="360" w:lineRule="auto"/>
        <w:jc w:val="both"/>
        <w:rPr>
          <w:lang w:val="en-GB"/>
        </w:rPr>
      </w:pPr>
      <w:r>
        <w:rPr>
          <w:rFonts w:ascii="Times New Roman" w:hAnsi="Times New Roman" w:cs="Times New Roman"/>
          <w:sz w:val="24"/>
          <w:lang w:val="en-GB"/>
        </w:rPr>
        <w:t>S/ Shri K. D. Gupta, Chief Commissioner of Income Tax, Lucknow and D. D. Goel, Additional Commissioner of Income Tax, Delhi were co-opted as members of the group.</w:t>
      </w:r>
    </w:p>
    <w:p w:rsidR="00EC74B3" w:rsidRDefault="00EC74B3" w:rsidP="005077F7">
      <w:pPr>
        <w:pStyle w:val="BodyTextIndent"/>
        <w:numPr>
          <w:ilvl w:val="1"/>
          <w:numId w:val="55"/>
        </w:numPr>
        <w:tabs>
          <w:tab w:val="clear" w:pos="720"/>
          <w:tab w:val="num" w:pos="0"/>
        </w:tabs>
        <w:spacing w:line="360" w:lineRule="auto"/>
        <w:ind w:left="0" w:firstLine="0"/>
        <w:jc w:val="both"/>
        <w:rPr>
          <w:rFonts w:ascii="Times New Roman" w:hAnsi="Times New Roman" w:cs="Times New Roman"/>
          <w:lang w:val="en-GB"/>
        </w:rPr>
      </w:pPr>
      <w:r>
        <w:rPr>
          <w:rFonts w:ascii="Times New Roman" w:hAnsi="Times New Roman" w:cs="Times New Roman"/>
          <w:lang w:val="en-GB"/>
        </w:rPr>
        <w:t xml:space="preserve">The </w:t>
      </w:r>
      <w:proofErr w:type="gramStart"/>
      <w:r>
        <w:rPr>
          <w:rFonts w:ascii="Times New Roman" w:hAnsi="Times New Roman" w:cs="Times New Roman"/>
          <w:lang w:val="en-GB"/>
        </w:rPr>
        <w:t>Group,</w:t>
      </w:r>
      <w:proofErr w:type="gramEnd"/>
      <w:r>
        <w:rPr>
          <w:rFonts w:ascii="Times New Roman" w:hAnsi="Times New Roman" w:cs="Times New Roman"/>
          <w:lang w:val="en-GB"/>
        </w:rPr>
        <w:t xml:space="preserve"> interacted with officers of the Department as well as representatives from trade, industry and professional bodies. It held several meetings at Delhi, Mumbai, Kolkata and Banglore. </w:t>
      </w:r>
    </w:p>
    <w:p w:rsidR="00EC74B3" w:rsidRDefault="00EC74B3" w:rsidP="005077F7">
      <w:pPr>
        <w:pStyle w:val="BodyTextIndent"/>
        <w:numPr>
          <w:ilvl w:val="1"/>
          <w:numId w:val="55"/>
        </w:numPr>
        <w:tabs>
          <w:tab w:val="clear" w:pos="720"/>
          <w:tab w:val="num" w:pos="0"/>
        </w:tabs>
        <w:spacing w:line="360" w:lineRule="auto"/>
        <w:ind w:left="0" w:firstLine="0"/>
        <w:jc w:val="both"/>
        <w:rPr>
          <w:rFonts w:ascii="Times New Roman" w:hAnsi="Times New Roman" w:cs="Times New Roman"/>
        </w:rPr>
      </w:pPr>
      <w:r>
        <w:rPr>
          <w:rFonts w:ascii="Times New Roman" w:hAnsi="Times New Roman" w:cs="Times New Roman"/>
        </w:rPr>
        <w:t xml:space="preserve">In the present report the Expert Group has examined all aspects of transfer pricing in the context of Indian situation and recommended appropriate changes in substantive law as well as rules.  The report exhaustively deals with issues relating to associated enterprises transactions subject to pricing adjustment, burden of proof, penalties and documentation requirements.  The group has also made an extensive study of the transfer pricing legislation of other countries and utilised their experience in dealing with these issues.  It has recommended a structure for transfer pricing </w:t>
      </w:r>
      <w:r>
        <w:rPr>
          <w:rFonts w:ascii="Times New Roman" w:hAnsi="Times New Roman" w:cs="Times New Roman"/>
        </w:rPr>
        <w:lastRenderedPageBreak/>
        <w:t xml:space="preserve">legislation and administration set up.  The brief description of each chapter is as under.  </w:t>
      </w:r>
    </w:p>
    <w:p w:rsidR="00EC74B3" w:rsidRDefault="00EC74B3">
      <w:pPr>
        <w:pStyle w:val="BodyTextIndent"/>
        <w:spacing w:line="360" w:lineRule="auto"/>
        <w:ind w:left="0" w:firstLine="0"/>
        <w:jc w:val="both"/>
        <w:rPr>
          <w:rFonts w:ascii="Times New Roman" w:hAnsi="Times New Roman" w:cs="Times New Roman"/>
          <w:lang w:val="en-GB"/>
        </w:rPr>
      </w:pPr>
      <w:r>
        <w:rPr>
          <w:rFonts w:ascii="Times New Roman" w:hAnsi="Times New Roman" w:cs="Times New Roman"/>
          <w:b/>
          <w:bCs/>
          <w:lang w:val="en-GB"/>
        </w:rPr>
        <w:t>1.13</w:t>
      </w:r>
      <w:r>
        <w:rPr>
          <w:rFonts w:ascii="Times New Roman" w:hAnsi="Times New Roman" w:cs="Times New Roman"/>
          <w:lang w:val="en-GB"/>
        </w:rPr>
        <w:tab/>
        <w:t xml:space="preserve">Chapter II introduces the theoretical aspect of transfer pricing and goes on to analyse the exiting provisions in various laws of India. It shows that for determining income of an enterprise from an international transaction, “arm’s length principle” has acquired universal acceptance. This requires that the transfer price should be same as that would be obtainable in transaction of similar item between independent enterprises in uncontrolled conditions. In other words, transfer price and ‘market price’ should be same in ideal conditions. If there is variation then that should be accountable by differences in conditions determining the two types of transactions and it should be possible to make adjustments to the transfer price to make it close to market price given the difference in conditions etc. </w:t>
      </w:r>
    </w:p>
    <w:p w:rsidR="00EC74B3" w:rsidRDefault="00EC74B3">
      <w:pPr>
        <w:pStyle w:val="BodyTextIndent"/>
        <w:spacing w:line="360" w:lineRule="auto"/>
        <w:ind w:left="0" w:firstLine="0"/>
        <w:jc w:val="both"/>
        <w:rPr>
          <w:rFonts w:ascii="Times New Roman" w:hAnsi="Times New Roman" w:cs="Times New Roman"/>
          <w:lang w:val="en-GB"/>
        </w:rPr>
      </w:pPr>
      <w:r>
        <w:rPr>
          <w:rFonts w:ascii="Times New Roman" w:hAnsi="Times New Roman" w:cs="Times New Roman"/>
          <w:b/>
          <w:bCs/>
          <w:lang w:val="en-GB"/>
        </w:rPr>
        <w:t>1.14</w:t>
      </w:r>
      <w:r>
        <w:rPr>
          <w:rFonts w:ascii="Times New Roman" w:hAnsi="Times New Roman" w:cs="Times New Roman"/>
          <w:lang w:val="en-GB"/>
        </w:rPr>
        <w:tab/>
        <w:t>It is observed that, though Income Tax Act, 1961 of India refers to ‘market price’ it does not contain provisions that can be said to be based on the arm’s length principle. In fact, it is section 92 of the Act alone that can be applied to international transactions. However, it is not a comprehensive provision and fails on several counts. The law in respect of maintenance of documentation are also observed to be inadequate.</w:t>
      </w:r>
    </w:p>
    <w:p w:rsidR="00EC74B3" w:rsidRDefault="00EC74B3">
      <w:pPr>
        <w:pStyle w:val="BodyTextIndent"/>
        <w:spacing w:line="360" w:lineRule="auto"/>
        <w:ind w:left="0" w:firstLine="0"/>
        <w:jc w:val="both"/>
        <w:rPr>
          <w:rFonts w:ascii="Times New Roman" w:hAnsi="Times New Roman" w:cs="Times New Roman"/>
          <w:lang w:val="en-GB"/>
        </w:rPr>
      </w:pPr>
      <w:r>
        <w:rPr>
          <w:rFonts w:ascii="Times New Roman" w:hAnsi="Times New Roman" w:cs="Times New Roman"/>
          <w:b/>
          <w:bCs/>
          <w:lang w:val="en-GB"/>
        </w:rPr>
        <w:t>1.15</w:t>
      </w:r>
      <w:r>
        <w:rPr>
          <w:rFonts w:ascii="Times New Roman" w:hAnsi="Times New Roman" w:cs="Times New Roman"/>
          <w:lang w:val="en-GB"/>
        </w:rPr>
        <w:tab/>
        <w:t>Chapter III summarises internationally accepted methodologies for determining the arm’s length price. It observes that though comparable uncontrolled price method is the best method but due to insufficiency of data, both relating to controlled and uncontrolled transactions, it may be advisable to adopt resale price or cost plus methods. In cases where even these methods cannot be applied, the methods based on profit split can be adopted. In spite of difficulties that may have to be faced while applying these methods there are sufficient reasons to discourage use of Global Formulatory methods, which may look easier in application. The latter suffer from theoretical as well as practical problems.</w:t>
      </w:r>
    </w:p>
    <w:p w:rsidR="00EC74B3" w:rsidRDefault="00EC74B3">
      <w:pPr>
        <w:pStyle w:val="BodyTextIndent"/>
        <w:spacing w:line="360" w:lineRule="auto"/>
        <w:ind w:left="0" w:firstLine="0"/>
        <w:jc w:val="both"/>
        <w:rPr>
          <w:rFonts w:ascii="Times New Roman" w:hAnsi="Times New Roman" w:cs="Times New Roman"/>
          <w:lang w:val="en-GB"/>
        </w:rPr>
      </w:pPr>
      <w:r>
        <w:rPr>
          <w:rFonts w:ascii="Times New Roman" w:hAnsi="Times New Roman" w:cs="Times New Roman"/>
          <w:b/>
          <w:bCs/>
          <w:lang w:val="en-GB"/>
        </w:rPr>
        <w:t>1.16</w:t>
      </w:r>
      <w:r>
        <w:rPr>
          <w:rFonts w:ascii="Times New Roman" w:hAnsi="Times New Roman" w:cs="Times New Roman"/>
          <w:lang w:val="en-GB"/>
        </w:rPr>
        <w:tab/>
        <w:t xml:space="preserve">Chapter IV takes an overview of the transfer pricing regulations of other countries. It is highlights the contribution of the US in bringing transfer pricing to the forefront of international taxation by its aggressive approach, and of the OECD for its attempt to develop an international consensus on various aspects of transfer pricing. This chapter, further, deals with various aspects of transfer pricing that need to be addressed for adopting approach towards legal frame-work and administrative set-up. The first such issue being definition of the term ‘associated enterprise’. A precise </w:t>
      </w:r>
      <w:r>
        <w:rPr>
          <w:rFonts w:ascii="Times New Roman" w:hAnsi="Times New Roman" w:cs="Times New Roman"/>
          <w:lang w:val="en-GB"/>
        </w:rPr>
        <w:lastRenderedPageBreak/>
        <w:t xml:space="preserve">definition would help in identifying the taxpayers whose transactions would be covered by the transfer pricing regulations. The second important requirement of an efficient transfer pricing system is the ability to precisely identify transactions that should be liable to transfer pricing adjustments. The other important aspects of such system are – documentation requirements, burden of proof, penalty provisions, and dispute resolution mechanism. In respect of all these the group feels that there should be explicit departure from our existing provisions in law and rules. The importance of documentation requirement has not only to be elaborate but should be compulsory also. </w:t>
      </w:r>
    </w:p>
    <w:p w:rsidR="00EC74B3" w:rsidRDefault="00EC74B3">
      <w:pPr>
        <w:pStyle w:val="BodyTextIndent"/>
        <w:spacing w:line="360" w:lineRule="auto"/>
        <w:ind w:left="0" w:firstLine="0"/>
        <w:jc w:val="both"/>
        <w:rPr>
          <w:rFonts w:ascii="Times New Roman" w:hAnsi="Times New Roman" w:cs="Times New Roman"/>
          <w:lang w:val="en-GB"/>
        </w:rPr>
      </w:pPr>
      <w:r>
        <w:rPr>
          <w:rFonts w:ascii="Times New Roman" w:hAnsi="Times New Roman" w:cs="Times New Roman"/>
          <w:b/>
          <w:bCs/>
          <w:lang w:val="en-GB"/>
        </w:rPr>
        <w:t>1.17</w:t>
      </w:r>
      <w:r>
        <w:rPr>
          <w:rFonts w:ascii="Times New Roman" w:hAnsi="Times New Roman" w:cs="Times New Roman"/>
          <w:lang w:val="en-GB"/>
        </w:rPr>
        <w:tab/>
        <w:t xml:space="preserve">Finally, Chapter V gives the recommendations of the group regarding changes in law, rules and administrative set-up. It is suggested that the present section 92 may be replaced by a chapter in the Income Tax Act, 1961 dealing exclusively with transfer pricing. In order that the Indian law may be in the line with international approach it is suggested that the arm’s length principle may be adopted. It is advocated that emphasis may be on maintenance of proper documentation and on suitable changes in penalty provisions. Appreciating that the success of any system lies in its implementation suitable administrative changes are also suggested. </w:t>
      </w:r>
    </w:p>
    <w:p w:rsidR="00EC74B3" w:rsidRDefault="00EC74B3">
      <w:pPr>
        <w:pStyle w:val="BodyTextIndent"/>
        <w:spacing w:line="360" w:lineRule="auto"/>
        <w:ind w:left="180" w:firstLine="0"/>
        <w:jc w:val="both"/>
        <w:rPr>
          <w:rFonts w:ascii="Times New Roman" w:hAnsi="Times New Roman" w:cs="Times New Roman"/>
          <w:lang w:val="en-GB"/>
        </w:rPr>
      </w:pPr>
      <w:r>
        <w:rPr>
          <w:rFonts w:ascii="Times New Roman" w:hAnsi="Times New Roman" w:cs="Times New Roman"/>
          <w:lang w:val="en-GB"/>
        </w:rPr>
        <w:t xml:space="preserve"> </w:t>
      </w:r>
    </w:p>
    <w:p w:rsidR="00EC74B3" w:rsidRDefault="00EC74B3">
      <w:pPr>
        <w:tabs>
          <w:tab w:val="center" w:pos="4512"/>
        </w:tabs>
        <w:spacing w:line="360" w:lineRule="auto"/>
        <w:jc w:val="center"/>
        <w:rPr>
          <w:b/>
        </w:rPr>
      </w:pPr>
      <w:r>
        <w:rPr>
          <w:b/>
        </w:rPr>
        <w:br w:type="page"/>
      </w:r>
      <w:r>
        <w:rPr>
          <w:b/>
        </w:rPr>
        <w:lastRenderedPageBreak/>
        <w:t>CHAPTER II</w:t>
      </w:r>
    </w:p>
    <w:p w:rsidR="00EC74B3" w:rsidRDefault="00EC74B3">
      <w:pPr>
        <w:tabs>
          <w:tab w:val="center" w:pos="4512"/>
        </w:tabs>
        <w:spacing w:line="360" w:lineRule="auto"/>
        <w:jc w:val="both"/>
        <w:rPr>
          <w:b/>
        </w:rPr>
      </w:pPr>
    </w:p>
    <w:p w:rsidR="00EC74B3" w:rsidRDefault="00EC74B3">
      <w:pPr>
        <w:pStyle w:val="Heading3"/>
        <w:widowControl/>
        <w:tabs>
          <w:tab w:val="center" w:pos="4512"/>
        </w:tabs>
        <w:jc w:val="center"/>
        <w:rPr>
          <w:snapToGrid/>
        </w:rPr>
      </w:pPr>
      <w:r>
        <w:rPr>
          <w:snapToGrid/>
        </w:rPr>
        <w:t>TRANSFER PRICING – THE ISSUE</w:t>
      </w:r>
    </w:p>
    <w:p w:rsidR="00EC74B3" w:rsidRDefault="00EC74B3">
      <w:pPr>
        <w:spacing w:line="360" w:lineRule="auto"/>
        <w:jc w:val="both"/>
        <w:rPr>
          <w:b/>
        </w:rPr>
      </w:pPr>
    </w:p>
    <w:p w:rsidR="00EC74B3" w:rsidRDefault="00EC74B3">
      <w:pPr>
        <w:pStyle w:val="Heading4"/>
        <w:rPr>
          <w:szCs w:val="24"/>
        </w:rPr>
      </w:pPr>
      <w:r>
        <w:rPr>
          <w:szCs w:val="24"/>
        </w:rPr>
        <w:t>Transfer Pricing - Definition</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sz w:val="24"/>
          <w:lang w:val="en-GB"/>
        </w:rPr>
        <w:t>2.1.1</w:t>
      </w:r>
      <w:r>
        <w:rPr>
          <w:rFonts w:ascii="Times New Roman" w:hAnsi="Times New Roman" w:cs="Times New Roman"/>
          <w:b/>
          <w:sz w:val="24"/>
          <w:lang w:val="en-GB"/>
        </w:rPr>
        <w:tab/>
      </w:r>
      <w:r>
        <w:rPr>
          <w:rFonts w:ascii="Times New Roman" w:hAnsi="Times New Roman" w:cs="Times New Roman"/>
          <w:bCs/>
          <w:sz w:val="24"/>
          <w:lang w:val="en-GB"/>
        </w:rPr>
        <w:t xml:space="preserve">The expression “transfer pricing” refers to determination of price of goods, services, and intangibles transacted between associated enterprises, entities that belong to the same business group. It is commonly used in the context of international transactions, though similar transactions take place in purely domestic context also. Like any transaction between independent enterprises, management of a firm in </w:t>
      </w:r>
      <w:proofErr w:type="gramStart"/>
      <w:r>
        <w:rPr>
          <w:rFonts w:ascii="Times New Roman" w:hAnsi="Times New Roman" w:cs="Times New Roman"/>
          <w:bCs/>
          <w:sz w:val="24"/>
          <w:lang w:val="en-GB"/>
        </w:rPr>
        <w:t>an</w:t>
      </w:r>
      <w:proofErr w:type="gramEnd"/>
      <w:r>
        <w:rPr>
          <w:rFonts w:ascii="Times New Roman" w:hAnsi="Times New Roman" w:cs="Times New Roman"/>
          <w:bCs/>
          <w:sz w:val="24"/>
          <w:lang w:val="en-GB"/>
        </w:rPr>
        <w:t xml:space="preserve"> Multi National Enterprise (MNE) system has to fix a price for an intra-firm transaction. “Transfer Price” is defined as "the price set by related corporations for the sale or other transfer of goods, services and/or intangible property thereof".  The OECD defines “transfer price” as ‘prices at which an enterprise transfers physical goods and intangible property or provides services to associated enterprises’ (Article 9 of the OECD Model Tax Convention). </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sz w:val="24"/>
          <w:lang w:val="en-GB"/>
        </w:rPr>
        <w:t>2.1.2</w:t>
      </w:r>
      <w:r>
        <w:rPr>
          <w:rFonts w:ascii="Times New Roman" w:hAnsi="Times New Roman" w:cs="Times New Roman"/>
          <w:bCs/>
          <w:sz w:val="24"/>
          <w:lang w:val="en-GB"/>
        </w:rPr>
        <w:tab/>
        <w:t xml:space="preserve">Thus, transfer prices are essentially set within a single enterprise as against market prices set in transactions between independent enterprises, where only the market is the guiding factor. Apart from this, the associated enterprises in an MNE system are guided by the “group’s objectives”, which may differ from the objectives of the individual enterprises. These make transfer pricing a complex exercise, different from price determination by an enterprise in its transaction with another independent enterprise under uncontrolled conditions. Due to the basic differences between “transfer prices” and “market determined prices”, and complexities involved in intra-firm transactions, tax authorities often find examination of transfer prices an involved exercise. This gives rise to differences in the prices of goods etc., determined by taxpayers and tax authorities, and consequently to litigation. </w:t>
      </w:r>
    </w:p>
    <w:p w:rsidR="00EC74B3" w:rsidRDefault="00EC74B3">
      <w:pPr>
        <w:pStyle w:val="BodyText"/>
        <w:spacing w:line="360" w:lineRule="auto"/>
        <w:jc w:val="both"/>
        <w:rPr>
          <w:rFonts w:ascii="Times New Roman" w:hAnsi="Times New Roman" w:cs="Times New Roman"/>
          <w:bCs/>
          <w:sz w:val="24"/>
          <w:lang w:val="en-GB"/>
        </w:rPr>
      </w:pPr>
    </w:p>
    <w:p w:rsidR="00EC74B3" w:rsidRDefault="00EC74B3">
      <w:pPr>
        <w:pStyle w:val="Heading4"/>
        <w:rPr>
          <w:szCs w:val="24"/>
        </w:rPr>
      </w:pPr>
      <w:r>
        <w:rPr>
          <w:szCs w:val="24"/>
        </w:rPr>
        <w:t>Factors influencing 'Transfer Pricing'</w:t>
      </w:r>
    </w:p>
    <w:p w:rsidR="00EC74B3" w:rsidRDefault="00EC74B3">
      <w:pPr>
        <w:spacing w:line="360" w:lineRule="auto"/>
        <w:jc w:val="both"/>
      </w:pPr>
      <w:r>
        <w:rPr>
          <w:b/>
          <w:bCs/>
        </w:rPr>
        <w:t>2.2.1</w:t>
      </w:r>
      <w:r>
        <w:rPr>
          <w:b/>
          <w:bCs/>
        </w:rPr>
        <w:tab/>
      </w:r>
      <w:r>
        <w:t xml:space="preserve">Transfer pricing appears different to different persons. There are some who consider transfer pricing as a simple management tool, where prices are fixed by entities to earn maximum profits. Here the associated enterprises are considered totally independent enterprises. This is not agreed to by some others who consider transfer pricing as a tool in the hands of management for shifting profits to locations </w:t>
      </w:r>
      <w:r>
        <w:lastRenderedPageBreak/>
        <w:t>outside a taxation jurisdiction so that the group as a whole earns maximum profits. Here the underlying assumption is that enterprises of a group do not function as independent enterprises.</w:t>
      </w:r>
    </w:p>
    <w:p w:rsidR="00EC74B3" w:rsidRDefault="00EC74B3">
      <w:pPr>
        <w:spacing w:line="360" w:lineRule="auto"/>
        <w:jc w:val="both"/>
      </w:pPr>
      <w:r>
        <w:rPr>
          <w:b/>
          <w:bCs/>
        </w:rPr>
        <w:t>2.2.2</w:t>
      </w:r>
      <w:r>
        <w:rPr>
          <w:b/>
          <w:bCs/>
        </w:rPr>
        <w:tab/>
      </w:r>
      <w:r>
        <w:t>However, there are other considerations which play important role in transfer pricing. The most important of these are:-</w:t>
      </w:r>
    </w:p>
    <w:p w:rsidR="00EC74B3" w:rsidRDefault="00EC74B3" w:rsidP="005077F7">
      <w:pPr>
        <w:numPr>
          <w:ilvl w:val="0"/>
          <w:numId w:val="27"/>
        </w:numPr>
        <w:spacing w:line="360" w:lineRule="auto"/>
        <w:jc w:val="both"/>
      </w:pPr>
      <w:r>
        <w:t>Tax rate differential: - When tax rates differ substantially, transfer prices are fixed in such a manner that lower profits are shown in the jurisdictions with higher tax rates.</w:t>
      </w:r>
    </w:p>
    <w:p w:rsidR="00EC74B3" w:rsidRDefault="00EC74B3" w:rsidP="005077F7">
      <w:pPr>
        <w:numPr>
          <w:ilvl w:val="0"/>
          <w:numId w:val="27"/>
        </w:numPr>
        <w:spacing w:line="360" w:lineRule="auto"/>
        <w:jc w:val="both"/>
      </w:pPr>
      <w:r>
        <w:t xml:space="preserve">Tariff differential: Tariff </w:t>
      </w:r>
      <w:proofErr w:type="gramStart"/>
      <w:r>
        <w:t>are</w:t>
      </w:r>
      <w:proofErr w:type="gramEnd"/>
      <w:r>
        <w:t xml:space="preserve"> imposed on goods imported. Thus it will be lower for goods with lower prices.</w:t>
      </w:r>
    </w:p>
    <w:p w:rsidR="00EC74B3" w:rsidRDefault="00EC74B3" w:rsidP="005077F7">
      <w:pPr>
        <w:numPr>
          <w:ilvl w:val="0"/>
          <w:numId w:val="27"/>
        </w:numPr>
        <w:spacing w:line="360" w:lineRule="auto"/>
        <w:jc w:val="both"/>
      </w:pPr>
      <w:r>
        <w:t>Regulations for controlling business activities: enterprises may like to show minimum profits in a country and try to shift funds to other jurisdictions by transfer pricing.</w:t>
      </w:r>
    </w:p>
    <w:p w:rsidR="00EC74B3" w:rsidRDefault="00EC74B3">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cs="Times New Roman"/>
          <w:sz w:val="24"/>
          <w:lang w:val="en-GB"/>
        </w:rPr>
      </w:pPr>
      <w:r>
        <w:rPr>
          <w:rFonts w:ascii="Times New Roman" w:hAnsi="Times New Roman" w:cs="Times New Roman"/>
          <w:b/>
          <w:bCs/>
          <w:sz w:val="24"/>
          <w:lang w:val="en-GB"/>
        </w:rPr>
        <w:t>2.2.3</w:t>
      </w:r>
      <w:r>
        <w:rPr>
          <w:rFonts w:ascii="Times New Roman" w:hAnsi="Times New Roman" w:cs="Times New Roman"/>
          <w:sz w:val="24"/>
          <w:lang w:val="en-GB"/>
        </w:rPr>
        <w:tab/>
        <w:t xml:space="preserve">Though there is no study undertaken to estimate the exact influence of each factor on transfer pricing, studies show that the variations of transfer prices from the market prices are substantial. High incidence of overpricing ranging from 33 percent to more than 300 percent of international market prices have been observed in Columbia, particularly in pharmaceutical, rubber and electronic industries. Obviously, this massive manipulation arises because MNEs can control transfer prices, whereby they may fix these at levels different from the prices which would be obtained in the arm’s length transactions with a view to shifting profits artificially from one area of operation to another. </w:t>
      </w:r>
    </w:p>
    <w:p w:rsidR="00EC74B3" w:rsidRDefault="00EC74B3">
      <w:pPr>
        <w:spacing w:line="360" w:lineRule="auto"/>
        <w:jc w:val="both"/>
      </w:pPr>
      <w:r>
        <w:rPr>
          <w:b/>
          <w:bCs/>
        </w:rPr>
        <w:t>2.2.4</w:t>
      </w:r>
      <w:r>
        <w:tab/>
        <w:t xml:space="preserve">MNEs have additional advantage in that the profits of the entire group can be first ascertained and then distributed among the involved enterprises. This is because profits during a given year will depend on cost considerations of the MNE and on the way it chooses to undertake and report expenditure or outlays as costs during that particular year, within the minimum reporting requirements set by fiscal agencies of that tax jurisdiction. This provides an important tool in the hands of MNEs to manipulate income that is declared for taxation in a tax jurisdiction. </w:t>
      </w:r>
    </w:p>
    <w:p w:rsidR="00EC74B3" w:rsidRDefault="00EC74B3">
      <w:pPr>
        <w:spacing w:line="360" w:lineRule="auto"/>
        <w:jc w:val="both"/>
      </w:pPr>
      <w:r>
        <w:rPr>
          <w:b/>
          <w:bCs/>
        </w:rPr>
        <w:t>2.2.5</w:t>
      </w:r>
      <w:r>
        <w:tab/>
        <w:t xml:space="preserve">Thus, when transfer pricing decisions are influenced by tax considerations they affect the tax base of the countries involved. In view of advances in communication and technology, whereby international movement of goods, services and finance have become much easier and </w:t>
      </w:r>
      <w:proofErr w:type="gramStart"/>
      <w:r>
        <w:t>quicker ,</w:t>
      </w:r>
      <w:proofErr w:type="gramEnd"/>
      <w:r>
        <w:t xml:space="preserve"> and hence tax manipulations through transfer pricing have become easier. This apprehension in the mind of tax </w:t>
      </w:r>
      <w:r>
        <w:lastRenderedPageBreak/>
        <w:t>authorities has put transfer pricing as one of the important aspects of international taxation.</w:t>
      </w:r>
    </w:p>
    <w:p w:rsidR="00EC74B3" w:rsidRDefault="00EC74B3">
      <w:pPr>
        <w:spacing w:line="360" w:lineRule="auto"/>
        <w:jc w:val="both"/>
      </w:pPr>
      <w:r>
        <w:rPr>
          <w:b/>
          <w:bCs/>
        </w:rPr>
        <w:t>2.2.6</w:t>
      </w:r>
      <w:r>
        <w:tab/>
        <w:t>Considering the impact of transfer pricing on taxation, both the OECD and the UN Model Tax Treaties have concept of “arm’s length price” for determining income of an enterprise by the tax authorities. This is the price of a transaction that would be obtainable when a transaction of good or services takes place between independent enterprises under free market conditions, i.e., when no artificial conditions are built up for determining price of the transaction. When transactions are at arm’s length then a buyer and a seller are free to act where each tries to maximise its economic interest and then agrees to a price. However, when transactions take place between associated or related enterprises they may not be governed by open market considerations. The models authorise tax authorities to make necessary amendments to the profits shown if they find that the transfer price differs from the arm’s length price. This is the concept of the "arm's length principle”. The relevant provision in Article 9 of the Model tax Conventions runs as follows:</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jc w:val="both"/>
      </w:pPr>
      <w:r>
        <w:t>"Where:</w:t>
      </w:r>
    </w:p>
    <w:p w:rsidR="00EC74B3" w:rsidRDefault="00EC74B3" w:rsidP="005077F7">
      <w:pPr>
        <w:pStyle w:val="BodyTextIndent3"/>
        <w:numPr>
          <w:ilvl w:val="0"/>
          <w:numId w:val="28"/>
        </w:numPr>
        <w:spacing w:line="360" w:lineRule="auto"/>
        <w:jc w:val="both"/>
        <w:rPr>
          <w:rFonts w:ascii="Times New Roman" w:hAnsi="Times New Roman" w:cs="Times New Roman"/>
          <w:lang w:val="en-GB"/>
        </w:rPr>
      </w:pPr>
      <w:r>
        <w:rPr>
          <w:rFonts w:ascii="Times New Roman" w:hAnsi="Times New Roman" w:cs="Times New Roman"/>
          <w:lang w:val="en-GB"/>
        </w:rPr>
        <w:t>An enterprise of a Contracting State participates directly or indirectly in the management, control or capital of an enterprise of the other Contracting State; or</w:t>
      </w:r>
    </w:p>
    <w:p w:rsidR="00EC74B3" w:rsidRDefault="00EC74B3" w:rsidP="005077F7">
      <w:pPr>
        <w:pStyle w:val="BodyTextIndent3"/>
        <w:numPr>
          <w:ilvl w:val="0"/>
          <w:numId w:val="28"/>
        </w:numPr>
        <w:spacing w:line="360" w:lineRule="auto"/>
        <w:jc w:val="both"/>
        <w:rPr>
          <w:rFonts w:ascii="Times New Roman" w:hAnsi="Times New Roman" w:cs="Times New Roman"/>
          <w:lang w:val="en-GB"/>
        </w:rPr>
      </w:pPr>
      <w:r>
        <w:rPr>
          <w:rFonts w:ascii="Times New Roman" w:hAnsi="Times New Roman" w:cs="Times New Roman"/>
          <w:lang w:val="en-GB"/>
        </w:rPr>
        <w:t xml:space="preserve">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 which would, but for those conditions, have accrued to one of the enterprises, but, by reason of those conditions, have not accrued, may be included in the profits of that enterprise and taxed accordingly." </w:t>
      </w:r>
    </w:p>
    <w:p w:rsidR="00EC74B3" w:rsidRDefault="00EC74B3">
      <w:pPr>
        <w:spacing w:line="360" w:lineRule="auto"/>
        <w:jc w:val="both"/>
      </w:pPr>
      <w:r>
        <w:rPr>
          <w:b/>
          <w:bCs/>
        </w:rPr>
        <w:t>2.2.7</w:t>
      </w:r>
      <w:r>
        <w:rPr>
          <w:b/>
          <w:bCs/>
        </w:rPr>
        <w:tab/>
      </w:r>
      <w:r>
        <w:t>However, determination of arm’s length price is quite a difficult task due to close relationship between transacting parties, where it is difficult to exactly define benefits derived by different entities of the group and to identify the cost incurred by each one with the benefits so derived. This is more so when the goods, services and intangibles are</w:t>
      </w:r>
      <w:r>
        <w:rPr>
          <w:i/>
        </w:rPr>
        <w:t xml:space="preserve"> specific </w:t>
      </w:r>
      <w:r>
        <w:t xml:space="preserve">to the enterprise and </w:t>
      </w:r>
      <w:r>
        <w:rPr>
          <w:i/>
        </w:rPr>
        <w:t>do not have</w:t>
      </w:r>
      <w:r>
        <w:t xml:space="preserve"> market (or comparable arm’s length) prices. Great difficulty arises in allocating head office costs, R &amp; D, administration and marketing expenses incurred by the parent company to individual </w:t>
      </w:r>
      <w:r>
        <w:lastRenderedPageBreak/>
        <w:t>items produced by it and sold to associates. In such cases tax authorities of the two jurisdictions – host and home countries – may proceed in conflicting ways, resulting in double taxation. It need not be emphasised that this economic double taxation must be avoided. A country can achieve twin objectives – avoiding double taxation and discouraging tax evasion / avoidance only with the help of an efficient transfer pricing system.</w:t>
      </w:r>
    </w:p>
    <w:p w:rsidR="00EC74B3" w:rsidRDefault="00EC74B3">
      <w:pPr>
        <w:spacing w:line="360" w:lineRule="auto"/>
        <w:jc w:val="both"/>
        <w:rPr>
          <w:b/>
          <w:u w:val="single"/>
        </w:rPr>
      </w:pPr>
      <w:r>
        <w:rPr>
          <w:b/>
        </w:rPr>
        <w:t>Features of an Efficient Transfer Pricing System</w:t>
      </w:r>
    </w:p>
    <w:p w:rsidR="00EC74B3" w:rsidRDefault="00EC74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cs="Times New Roman"/>
          <w:sz w:val="24"/>
          <w:lang w:val="en-GB"/>
        </w:rPr>
      </w:pPr>
      <w:r>
        <w:rPr>
          <w:rFonts w:ascii="Times New Roman" w:hAnsi="Times New Roman" w:cs="Times New Roman"/>
          <w:b/>
          <w:bCs/>
          <w:sz w:val="24"/>
          <w:lang w:val="en-GB"/>
        </w:rPr>
        <w:t>2.3.1</w:t>
      </w:r>
      <w:r>
        <w:rPr>
          <w:rFonts w:ascii="Times New Roman" w:hAnsi="Times New Roman" w:cs="Times New Roman"/>
          <w:b/>
          <w:bCs/>
          <w:sz w:val="24"/>
          <w:lang w:val="en-GB"/>
        </w:rPr>
        <w:tab/>
      </w:r>
      <w:r>
        <w:rPr>
          <w:rFonts w:ascii="Times New Roman" w:hAnsi="Times New Roman" w:cs="Times New Roman"/>
          <w:sz w:val="24"/>
          <w:lang w:val="en-GB"/>
        </w:rPr>
        <w:t xml:space="preserve">The Group is of the view that an efficient transfer pricing system should not only be a revenue raising machinery but should also provide a reasonable method for allocating revenue to the concerned taxation jurisdictions, apart from providing a simple and consistent tax regime to taxpayers. To achieve this conceptual as well as practical problems have to be overcome. At the conceptual level, countries have to ensure that their legitimate right to tax the profits of a taxpayer based upon income and expenses that can reasonably be considered to arise within their territory is preserved. At the practical level, determination of such income and allocation of expense may be impeded by difficulties in obtaining pertinent data located outside the jurisdiction of the investigating country. </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Pr>
          <w:b/>
          <w:bCs/>
        </w:rPr>
        <w:t>2.3.2</w:t>
      </w:r>
      <w:r>
        <w:rPr>
          <w:b/>
          <w:bCs/>
        </w:rPr>
        <w:tab/>
      </w:r>
      <w:r>
        <w:t>The Group feels that an efficient transfer pricing system should, inter alia, ensure the following: -</w:t>
      </w:r>
    </w:p>
    <w:p w:rsidR="00EC74B3" w:rsidRDefault="00EC74B3" w:rsidP="005077F7">
      <w:pPr>
        <w:numPr>
          <w:ilvl w:val="0"/>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Income of the MNE should be apportioned fairly between the countries involved.</w:t>
      </w:r>
    </w:p>
    <w:p w:rsidR="00EC74B3" w:rsidRDefault="00EC74B3" w:rsidP="005077F7">
      <w:pPr>
        <w:numPr>
          <w:ilvl w:val="0"/>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The principles underlying the legislation should be internationally acceptable.</w:t>
      </w:r>
    </w:p>
    <w:p w:rsidR="00EC74B3" w:rsidRDefault="00EC74B3" w:rsidP="005077F7">
      <w:pPr>
        <w:numPr>
          <w:ilvl w:val="0"/>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The cost of administering the legislation and the compliance costs should not be high.</w:t>
      </w:r>
    </w:p>
    <w:p w:rsidR="00EC74B3" w:rsidRDefault="00EC74B3" w:rsidP="005077F7">
      <w:pPr>
        <w:numPr>
          <w:ilvl w:val="0"/>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The practical difficulties in applying the arm’s length principle should be recognised.</w:t>
      </w:r>
    </w:p>
    <w:p w:rsidR="00EC74B3" w:rsidRDefault="00EC74B3" w:rsidP="005077F7">
      <w:pPr>
        <w:numPr>
          <w:ilvl w:val="0"/>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An efficient alternative dispute resolution mechanism should be provided.</w:t>
      </w:r>
    </w:p>
    <w:p w:rsidR="00EC74B3" w:rsidRDefault="00EC74B3" w:rsidP="005077F7">
      <w:pPr>
        <w:numPr>
          <w:ilvl w:val="0"/>
          <w:numId w:val="2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Revenues of the countries involved should be protected.</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ab/>
        <w:t xml:space="preserve"> </w:t>
      </w:r>
    </w:p>
    <w:p w:rsidR="00EC74B3" w:rsidRDefault="00EC74B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60" w:lineRule="auto"/>
        <w:rPr>
          <w:rFonts w:ascii="Times New Roman" w:hAnsi="Times New Roman" w:cs="Times New Roman"/>
          <w:szCs w:val="24"/>
          <w:lang w:val="en-GB"/>
        </w:rPr>
      </w:pPr>
      <w:r>
        <w:rPr>
          <w:rFonts w:ascii="Times New Roman" w:hAnsi="Times New Roman" w:cs="Times New Roman"/>
          <w:b/>
          <w:bCs/>
          <w:lang w:val="en-GB"/>
        </w:rPr>
        <w:t>2.3.3</w:t>
      </w:r>
      <w:r>
        <w:rPr>
          <w:lang w:val="en-GB"/>
        </w:rPr>
        <w:tab/>
      </w:r>
      <w:r>
        <w:rPr>
          <w:rFonts w:ascii="Times New Roman" w:hAnsi="Times New Roman" w:cs="Times New Roman"/>
          <w:lang w:val="en-GB"/>
        </w:rPr>
        <w:t xml:space="preserve">To make transfer pricing system efficient and effective, aspects like rules regarding burden of proof, documentation requirement, examination practices, penalties and dispute resolution mechanism should be given due importance. These should be fine tuned with the substantive part of special legislation on transfer pricing. </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Pr>
          <w:b/>
          <w:bCs/>
        </w:rPr>
        <w:t>2.3.4</w:t>
      </w:r>
      <w:r>
        <w:tab/>
        <w:t xml:space="preserve">Appreciating the above facts, it is recognised that the appropriate solutions cannot come from individual countries and that international consensus is necessary. The absence of such a consensus may give rise to a situation where countries would start competing with one another in making the legislation and administration of </w:t>
      </w:r>
      <w:r>
        <w:lastRenderedPageBreak/>
        <w:t>transfer pricing. If one country in the world economy becomes over-jealous and decides to go it alone and investigate every cross-border transaction of MNEs within its tax jurisdiction, then all other countries would be forced to apply similar transfer pricing provisions with equal force in order to safeguard their fair share of taxes on all cross-border transactions involving that country. This may not only result in double taxation but would also increase the cost of maintaining accounts by taxpayers, as they would be required to satisfy different tax administrations who would be following different accounting practices.</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 xml:space="preserve"> 2.3.5</w:t>
      </w:r>
      <w:r>
        <w:rPr>
          <w:rFonts w:ascii="Times New Roman" w:hAnsi="Times New Roman" w:cs="Times New Roman"/>
          <w:sz w:val="24"/>
          <w:lang w:val="en-GB"/>
        </w:rPr>
        <w:tab/>
        <w:t xml:space="preserve">In order to provide a reasonable framework for drafting legislation on transfer pricing, the OECD has been bringing out guidelines from time to time. In 1995 it came out with the "Transfer Pricing Guidelines for Multinational Enterprises and Tax Administration" (hereinafter referred to as "The Guidelines"), which comprehensively deals with all aspects of transfer pricing. It focuses on the application of arm's length principle to evaluate transfer prices in transactions between associated enterprises. It is based upon international choice and consensus. Almost all OECD countries have, in one form or other, adopted The Guidelines - some have based their legislation on transfer pricing on it, while several other use it for handling their transfer pricing problems. </w:t>
      </w:r>
    </w:p>
    <w:p w:rsidR="00EC74B3" w:rsidRDefault="00EC74B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Pr>
          <w:b/>
          <w:bCs/>
        </w:rPr>
        <w:t>2.3.6</w:t>
      </w:r>
      <w:r>
        <w:rPr>
          <w:b/>
          <w:bCs/>
        </w:rPr>
        <w:tab/>
      </w:r>
      <w:r>
        <w:t xml:space="preserve">  However, the issues relating to transfer pricing are yet to be given their due importance in the developing countries, though in view of growing involvement of MNEs in the economies of the developing countries it is high time that they decide to formulate rules and regulations about transfer pricing. The developing countries being new to the international transfer pricing arena are increasingly at risk until they adopt regulations that insure pricing of transferred goods and services. It should be emphasised that the economic consequences, most notably loss of revenue and profit shifting via transfer pricing manipulations, are detrimental to a country’s continuing development.  In view if this, it is suggested that it is very important to establish a transfer pricing regime which would address administrative, accounting and tax requirements of these countries and reflect current global transfer pricing procedures.</w:t>
      </w:r>
    </w:p>
    <w:p w:rsidR="00EC74B3" w:rsidRDefault="00EC74B3">
      <w:pPr>
        <w:spacing w:line="360" w:lineRule="auto"/>
        <w:jc w:val="both"/>
        <w:rPr>
          <w:b/>
        </w:rPr>
      </w:pPr>
      <w:r>
        <w:rPr>
          <w:b/>
        </w:rPr>
        <w:t>Transfer Pricing in Indian context</w:t>
      </w:r>
    </w:p>
    <w:p w:rsidR="00EC74B3" w:rsidRDefault="00EC74B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Pr>
          <w:b/>
          <w:bCs/>
        </w:rPr>
        <w:t>2.4.1</w:t>
      </w:r>
      <w:r>
        <w:tab/>
        <w:t xml:space="preserve">Recently importance of transfer pricing has come to be appreciated in India due to basically developments in three areas. Firstly, since 1991-92 India has embarked upon a course of structural reform. This has paved the way towards globalisation of the Indian economy and has resulted in the removal of barriers such as prohibitive </w:t>
      </w:r>
      <w:r>
        <w:lastRenderedPageBreak/>
        <w:t xml:space="preserve">customs duties. The reform has also done away with most of the other fiscal and regulatory restrictions in order to enable foreign enterprises, especially the MNEs, to participate in the economic development of the country through their capital and technology. Consequently, MNEs have started appreciating India as a big market of consumer goods and also a cheap place for developing computer software. In the recent time a large number of MNEs have established their production centres and have started sourcing manpower.  There has been a quantum jump in inflow of foreign direct investment (FDI) and technologies into India. Over the period 1991-97 the yearly inflow of the FDI has increased nearly 30 times. </w:t>
      </w:r>
    </w:p>
    <w:p w:rsidR="00EC74B3" w:rsidRDefault="00EC74B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Pr>
          <w:b/>
          <w:bCs/>
        </w:rPr>
        <w:t>2.4.2</w:t>
      </w:r>
      <w:r>
        <w:tab/>
        <w:t>Secondly, Indian concerns may abuse transfer pricing by entering into export of ancillaries to their related concern, which, in turn transfers their finished products back to the same or related enterprises in India at higher prices to reduce their taxable income on domestic activities.</w:t>
      </w:r>
    </w:p>
    <w:p w:rsidR="00EC74B3" w:rsidRDefault="00EC74B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Pr>
          <w:b/>
          <w:bCs/>
        </w:rPr>
        <w:t>2.4.3</w:t>
      </w:r>
      <w:r>
        <w:tab/>
        <w:t>As the flow of foreign direct investment is increasing consistently, the transfer pricing issues are achieving a higher profile. It is becoming imperative to look at the existing provisions in Income Tax Act to ascertain the adequacy of the provisions in dealing with transfer pricing cases. In India the law for dealing with transactions between residents and non-residents has remained more or less unchanged since its inception. There is an urgent need to introduce comprehensive legislation and guidelines on transfer pricing. But before attempting this it is necessary to analyse the existing provisions for identifying their shortcomings.</w:t>
      </w:r>
    </w:p>
    <w:p w:rsidR="00EC74B3" w:rsidRDefault="00EC74B3">
      <w:pPr>
        <w:spacing w:line="360" w:lineRule="auto"/>
        <w:jc w:val="both"/>
      </w:pPr>
      <w:r>
        <w:rPr>
          <w:b/>
          <w:bCs/>
        </w:rPr>
        <w:t>2.4.4</w:t>
      </w:r>
      <w:r>
        <w:tab/>
        <w:t xml:space="preserve">Income Tax Act, 1961 (hereinafter referred to as the “Act”) contain provisions that address issues relating to the taxation of non-residents. Some of these confer a concessional tax regime encouraging transfer of funds and technology to India. At the same time, conditions are built in to ensure that such provisions are not misused for adversely affecting the tax base of India. Apart from this, in order to ensure that cross-border transactions with associated enterprises are not used for understating taxable income in India, special provisions have been incorporated in the Act. The relevant provisions are sections 9 (1) (i), 40A (2), 92 and 93 of the Act. Section 9 (1) (i) of the Act allows tax authorities to deem an income of a non-resident to arise in India, when actually the same neither accrues, arises or is received in India. Section 40A (2) empowers Assessing Officer to disallow certain expenditure paid to certain related parties when the same are found to be excessive or unreasonable having regard to the fair market value of the concerned goods, services or facilities. Sections 92 and 93 </w:t>
      </w:r>
      <w:r>
        <w:lastRenderedPageBreak/>
        <w:t>specially address cross-border transactions between related parties where conditions exist that reduce or evade taxation in India.</w:t>
      </w:r>
    </w:p>
    <w:p w:rsidR="00EC74B3" w:rsidRDefault="00EC74B3">
      <w:pPr>
        <w:spacing w:line="360" w:lineRule="auto"/>
        <w:jc w:val="both"/>
      </w:pPr>
      <w:r>
        <w:rPr>
          <w:b/>
          <w:bCs/>
        </w:rPr>
        <w:t>2.4.5</w:t>
      </w:r>
      <w:r>
        <w:rPr>
          <w:b/>
          <w:bCs/>
        </w:rPr>
        <w:tab/>
      </w:r>
      <w:r>
        <w:t>Though the term "arm's length" has not been explicitly used or defined in the Indian laws, but the same has been implicitly recognised. The concept is incorporated in the stipulation of “fair market value” as defined in section 2 (22B) and section 40 A (2) (b) of the Act. It is accepted that the profits of a business have to be computed under fair market conditions. It has also been held by courts that "profits and gains are not profits regulated by any statute, but profits in a business computed on business principles".</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2.4.6</w:t>
      </w:r>
      <w:r>
        <w:rPr>
          <w:rFonts w:ascii="Times New Roman" w:hAnsi="Times New Roman" w:cs="Times New Roman"/>
          <w:b/>
          <w:bCs/>
          <w:sz w:val="24"/>
          <w:lang w:val="en-GB"/>
        </w:rPr>
        <w:tab/>
      </w:r>
      <w:r>
        <w:rPr>
          <w:rFonts w:ascii="Times New Roman" w:hAnsi="Times New Roman" w:cs="Times New Roman"/>
          <w:sz w:val="24"/>
          <w:lang w:val="en-GB"/>
        </w:rPr>
        <w:t>At present Section 92</w:t>
      </w:r>
      <w:r>
        <w:rPr>
          <w:rStyle w:val="FootnoteReference"/>
          <w:rFonts w:ascii="Times New Roman" w:hAnsi="Times New Roman" w:cs="Times New Roman"/>
          <w:sz w:val="24"/>
          <w:lang w:val="en-GB"/>
        </w:rPr>
        <w:footnoteReference w:id="2"/>
      </w:r>
      <w:r>
        <w:rPr>
          <w:rFonts w:ascii="Times New Roman" w:hAnsi="Times New Roman" w:cs="Times New Roman"/>
          <w:sz w:val="24"/>
          <w:lang w:val="en-GB"/>
        </w:rPr>
        <w:t xml:space="preserve"> is the only section in the Act that empowers, albeit indirectly, an Assessing officer to interfere with the ‘prices’ agreed to between a resident taxpayer and its associated non-resident entity. It lays down a general principle in respect of business carried on between a resident and a non-resident who have a ‘close connection”. In such cases if the Assessing Officer is of the opinion that, due to the close connection between a resident and a non-resident, the course of business is so arranged that the resident makes no profit or less than ordinary profits which might be expected to arise in that business, the Assessing officer can determine the amounts of profits that may reasonably be derived from such business and treat that as part of the income of the resident. </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2.4.7</w:t>
      </w:r>
      <w:r>
        <w:rPr>
          <w:rFonts w:ascii="Times New Roman" w:hAnsi="Times New Roman" w:cs="Times New Roman"/>
          <w:b/>
          <w:bCs/>
          <w:sz w:val="24"/>
          <w:lang w:val="en-GB"/>
        </w:rPr>
        <w:tab/>
      </w:r>
      <w:r>
        <w:rPr>
          <w:rFonts w:ascii="Times New Roman" w:hAnsi="Times New Roman" w:cs="Times New Roman"/>
          <w:sz w:val="24"/>
          <w:lang w:val="en-GB"/>
        </w:rPr>
        <w:t xml:space="preserve">This concept has all along been in the income tax law and in the 1922 Act where the concept was incorporated in section 42 (2).  Significantly, this section does not require, as a condition for its application that the business transacted by the resident with the non-resident should produce any profit or some profit to the non-resident. All important issues connected with application of section 42 (2) of the 1922 Act were examined by the Supreme Court in the case of Mazagaon Dock Ltd v </w:t>
      </w:r>
      <w:r>
        <w:rPr>
          <w:rFonts w:ascii="Times New Roman" w:hAnsi="Times New Roman" w:cs="Times New Roman"/>
          <w:sz w:val="24"/>
          <w:lang w:val="en-GB"/>
        </w:rPr>
        <w:lastRenderedPageBreak/>
        <w:t>Commissioner of Income-tax and Excess profit Tax [(1958) 34 ITR 368]. When the Income tax Act 1922 was superseded by the Income-tax Act, 1961 section 42 was replaced by section 92.  However, the earlier section was retained with minor changes. The only important change that has been made is that Rules 10 and 11 of the Income Tax Rules, 1962 have been introduced for determining the profits from the transaction with the non-resident associate. As per these, the amount of income that the Assessing Officer would determine would be either of the following: -</w:t>
      </w:r>
    </w:p>
    <w:p w:rsidR="00EC74B3" w:rsidRDefault="00EC74B3" w:rsidP="005077F7">
      <w:pPr>
        <w:pStyle w:val="BodyText"/>
        <w:numPr>
          <w:ilvl w:val="0"/>
          <w:numId w:val="24"/>
        </w:numPr>
        <w:spacing w:line="360" w:lineRule="auto"/>
        <w:jc w:val="both"/>
        <w:rPr>
          <w:rFonts w:ascii="Times New Roman" w:hAnsi="Times New Roman" w:cs="Times New Roman"/>
          <w:sz w:val="24"/>
          <w:lang w:val="en-GB"/>
        </w:rPr>
      </w:pPr>
      <w:r>
        <w:rPr>
          <w:rFonts w:ascii="Times New Roman" w:hAnsi="Times New Roman" w:cs="Times New Roman"/>
          <w:sz w:val="24"/>
          <w:lang w:val="en-GB"/>
        </w:rPr>
        <w:t>Such percentage of the turnover so accruing or arising as the Assessing Officer may consider to be reasonable; or</w:t>
      </w:r>
    </w:p>
    <w:p w:rsidR="00EC74B3" w:rsidRDefault="00EC74B3" w:rsidP="005077F7">
      <w:pPr>
        <w:pStyle w:val="BodyText"/>
        <w:numPr>
          <w:ilvl w:val="0"/>
          <w:numId w:val="24"/>
        </w:numPr>
        <w:spacing w:line="360" w:lineRule="auto"/>
        <w:jc w:val="both"/>
        <w:rPr>
          <w:rFonts w:ascii="Times New Roman" w:hAnsi="Times New Roman" w:cs="Times New Roman"/>
          <w:sz w:val="24"/>
          <w:lang w:val="en-GB"/>
        </w:rPr>
      </w:pPr>
      <w:r>
        <w:rPr>
          <w:rFonts w:ascii="Times New Roman" w:hAnsi="Times New Roman" w:cs="Times New Roman"/>
          <w:sz w:val="24"/>
          <w:lang w:val="en-GB"/>
        </w:rPr>
        <w:t>An amount which bears the same proportion to the total profits and gains of the business of such person (such profits and gains being computed in accordance with the provisions of the Act), as the receipts so accruing or arising bear to the total receipts of the business; or</w:t>
      </w:r>
    </w:p>
    <w:p w:rsidR="00EC74B3" w:rsidRDefault="00EC74B3" w:rsidP="005077F7">
      <w:pPr>
        <w:pStyle w:val="BodyText"/>
        <w:numPr>
          <w:ilvl w:val="0"/>
          <w:numId w:val="24"/>
        </w:numPr>
        <w:spacing w:line="360" w:lineRule="auto"/>
        <w:jc w:val="both"/>
        <w:rPr>
          <w:rFonts w:ascii="Times New Roman" w:hAnsi="Times New Roman" w:cs="Times New Roman"/>
          <w:sz w:val="24"/>
          <w:lang w:val="en-GB"/>
        </w:rPr>
      </w:pPr>
      <w:r>
        <w:rPr>
          <w:rFonts w:ascii="Times New Roman" w:hAnsi="Times New Roman" w:cs="Times New Roman"/>
          <w:sz w:val="24"/>
          <w:lang w:val="en-GB"/>
        </w:rPr>
        <w:t>An amount determined by the Assessing Officer in a manner deemed suitable.</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In order to apply section 92 to any transaction </w:t>
      </w:r>
      <w:proofErr w:type="gramStart"/>
      <w:r>
        <w:rPr>
          <w:rFonts w:ascii="Times New Roman" w:hAnsi="Times New Roman" w:cs="Times New Roman"/>
          <w:sz w:val="24"/>
          <w:lang w:val="en-GB"/>
        </w:rPr>
        <w:t>an</w:t>
      </w:r>
      <w:proofErr w:type="gramEnd"/>
      <w:r>
        <w:rPr>
          <w:rFonts w:ascii="Times New Roman" w:hAnsi="Times New Roman" w:cs="Times New Roman"/>
          <w:sz w:val="24"/>
          <w:lang w:val="en-GB"/>
        </w:rPr>
        <w:t xml:space="preserve"> Assessing Officer is required to establish that:</w:t>
      </w:r>
    </w:p>
    <w:p w:rsidR="00EC74B3" w:rsidRDefault="00EC74B3" w:rsidP="005077F7">
      <w:pPr>
        <w:pStyle w:val="BodyText"/>
        <w:numPr>
          <w:ilvl w:val="0"/>
          <w:numId w:val="22"/>
        </w:numPr>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a business is carried on between a resident and a non-resident; and </w:t>
      </w:r>
    </w:p>
    <w:p w:rsidR="00EC74B3" w:rsidRDefault="00EC74B3" w:rsidP="005077F7">
      <w:pPr>
        <w:pStyle w:val="BodyText"/>
        <w:numPr>
          <w:ilvl w:val="0"/>
          <w:numId w:val="22"/>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there is a close connection between the resident and the non-resident; and</w:t>
      </w:r>
    </w:p>
    <w:p w:rsidR="00EC74B3" w:rsidRDefault="00EC74B3" w:rsidP="005077F7">
      <w:pPr>
        <w:pStyle w:val="BodyText"/>
        <w:numPr>
          <w:ilvl w:val="0"/>
          <w:numId w:val="22"/>
        </w:numPr>
        <w:spacing w:line="360" w:lineRule="auto"/>
        <w:jc w:val="both"/>
        <w:rPr>
          <w:rFonts w:ascii="Times New Roman" w:hAnsi="Times New Roman" w:cs="Times New Roman"/>
          <w:sz w:val="24"/>
          <w:lang w:val="en-GB"/>
        </w:rPr>
      </w:pPr>
      <w:proofErr w:type="gramStart"/>
      <w:r>
        <w:rPr>
          <w:rFonts w:ascii="Times New Roman" w:hAnsi="Times New Roman" w:cs="Times New Roman"/>
          <w:sz w:val="24"/>
          <w:lang w:val="en-GB"/>
        </w:rPr>
        <w:t>the</w:t>
      </w:r>
      <w:proofErr w:type="gramEnd"/>
      <w:r>
        <w:rPr>
          <w:rFonts w:ascii="Times New Roman" w:hAnsi="Times New Roman" w:cs="Times New Roman"/>
          <w:sz w:val="24"/>
          <w:lang w:val="en-GB"/>
        </w:rPr>
        <w:t xml:space="preserve"> profits arising to that resident from that business is</w:t>
      </w:r>
      <w:r>
        <w:rPr>
          <w:rFonts w:ascii="Times New Roman" w:hAnsi="Times New Roman" w:cs="Times New Roman"/>
          <w:i/>
          <w:sz w:val="24"/>
          <w:lang w:val="en-GB"/>
        </w:rPr>
        <w:t xml:space="preserve"> nil</w:t>
      </w:r>
      <w:r>
        <w:rPr>
          <w:rFonts w:ascii="Times New Roman" w:hAnsi="Times New Roman" w:cs="Times New Roman"/>
          <w:sz w:val="24"/>
          <w:lang w:val="en-GB"/>
        </w:rPr>
        <w:t xml:space="preserve"> or less than the ordinary profits which might be expected to arise in the concerned business.</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b/>
          <w:bCs/>
          <w:sz w:val="24"/>
          <w:lang w:val="en-GB"/>
        </w:rPr>
        <w:t xml:space="preserve">2.4.8 </w:t>
      </w:r>
      <w:r>
        <w:rPr>
          <w:rFonts w:ascii="Times New Roman" w:hAnsi="Times New Roman" w:cs="Times New Roman"/>
          <w:sz w:val="24"/>
          <w:lang w:val="en-GB"/>
        </w:rPr>
        <w:t>If the above conditions are found satisfied then the Assessing Officer should determine the profits that may reasonably be expected and take that as income of the resident. In other words, the resident would not be charged on the profits shown by him but on the full amount of profits that could be earned from that business.</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sz w:val="24"/>
          <w:lang w:val="en-GB"/>
        </w:rPr>
        <w:t>2.4.9</w:t>
      </w:r>
      <w:r>
        <w:rPr>
          <w:rFonts w:ascii="Times New Roman" w:hAnsi="Times New Roman" w:cs="Times New Roman"/>
          <w:b/>
          <w:sz w:val="24"/>
          <w:lang w:val="en-GB"/>
        </w:rPr>
        <w:tab/>
      </w:r>
      <w:r>
        <w:rPr>
          <w:rFonts w:ascii="Times New Roman" w:hAnsi="Times New Roman" w:cs="Times New Roman"/>
          <w:bCs/>
          <w:sz w:val="24"/>
          <w:lang w:val="en-GB"/>
        </w:rPr>
        <w:t xml:space="preserve">The Group feels that Section 92, the only section which talks about cross-border transactions, is basically an anti-avoidance measure and has been in existence since inception without any substantial change. One of the possible reasons is that until the beginning of 1990s the flow of foreign investment into the country has been insignificant and investment by foreign companies was subject to strict limits and controls. </w:t>
      </w:r>
    </w:p>
    <w:p w:rsidR="00EC74B3" w:rsidRDefault="00EC74B3">
      <w:pPr>
        <w:pStyle w:val="BodyText"/>
        <w:spacing w:line="360" w:lineRule="auto"/>
        <w:jc w:val="both"/>
        <w:rPr>
          <w:rFonts w:ascii="Times New Roman" w:hAnsi="Times New Roman" w:cs="Times New Roman"/>
          <w:sz w:val="24"/>
        </w:rPr>
      </w:pPr>
      <w:r>
        <w:rPr>
          <w:rFonts w:ascii="Times New Roman" w:hAnsi="Times New Roman" w:cs="Times New Roman"/>
          <w:b/>
          <w:sz w:val="24"/>
        </w:rPr>
        <w:t>2.4.10</w:t>
      </w:r>
      <w:r>
        <w:rPr>
          <w:rFonts w:ascii="Times New Roman" w:hAnsi="Times New Roman" w:cs="Times New Roman"/>
          <w:sz w:val="24"/>
        </w:rPr>
        <w:tab/>
        <w:t xml:space="preserve">As explained, this section empowers tax administration to re-compute the income of a resident earned through transactions with its closely connected non-residents if it is observed that less than ordinary profits have accrued to the resident </w:t>
      </w:r>
      <w:r>
        <w:rPr>
          <w:rFonts w:ascii="Times New Roman" w:hAnsi="Times New Roman" w:cs="Times New Roman"/>
          <w:sz w:val="24"/>
        </w:rPr>
        <w:lastRenderedPageBreak/>
        <w:t>taxpayer. However, while dealing with transfer pricing cases, this provision suffers from theoretical as well as practical problems. The generality of the provision makes it very difficult for Assessing Officers to apply this section successfully. The major shortcomings of section 92 are as under:</w:t>
      </w:r>
    </w:p>
    <w:p w:rsidR="00EC74B3" w:rsidRDefault="00EC74B3" w:rsidP="005077F7">
      <w:pPr>
        <w:numPr>
          <w:ilvl w:val="0"/>
          <w:numId w:val="56"/>
        </w:numPr>
        <w:spacing w:line="360" w:lineRule="auto"/>
        <w:jc w:val="both"/>
      </w:pPr>
      <w:r>
        <w:t>The scope of the section is not wide enough to cover the case of Intangible and services.</w:t>
      </w:r>
    </w:p>
    <w:p w:rsidR="00EC74B3" w:rsidRDefault="00EC74B3" w:rsidP="005077F7">
      <w:pPr>
        <w:numPr>
          <w:ilvl w:val="0"/>
          <w:numId w:val="56"/>
        </w:numPr>
        <w:spacing w:line="360" w:lineRule="auto"/>
        <w:jc w:val="both"/>
      </w:pPr>
      <w:r>
        <w:t>The section applies to transaction between a resident and non-resident.  Thus, if a non-resident enters into a transaction with another non-resident the provision would not apply. Further, it provides for enhancement on in the case of residents, hence, non-resident’s income cannot be enhanced.</w:t>
      </w:r>
    </w:p>
    <w:p w:rsidR="00EC74B3" w:rsidRDefault="00EC74B3" w:rsidP="005077F7">
      <w:pPr>
        <w:numPr>
          <w:ilvl w:val="0"/>
          <w:numId w:val="56"/>
        </w:numPr>
        <w:spacing w:line="360" w:lineRule="auto"/>
        <w:jc w:val="both"/>
      </w:pPr>
      <w:r>
        <w:t>The provision applies only when a business is carried on between two closely connected enterprises. Thus, it is doubtful that the provision can apply to a one-time transaction between associated enterprises.</w:t>
      </w:r>
    </w:p>
    <w:p w:rsidR="00EC74B3" w:rsidRDefault="00EC74B3" w:rsidP="005077F7">
      <w:pPr>
        <w:numPr>
          <w:ilvl w:val="0"/>
          <w:numId w:val="56"/>
        </w:numPr>
        <w:spacing w:line="360" w:lineRule="auto"/>
        <w:jc w:val="both"/>
        <w:rPr>
          <w:bCs/>
        </w:rPr>
      </w:pPr>
      <w:r>
        <w:t>The emphasis is on the ‘profit’ rather than adjustment of prices or income. The rules prescribed for determining profits are again not scientific.</w:t>
      </w:r>
    </w:p>
    <w:p w:rsidR="00EC74B3" w:rsidRDefault="00EC74B3" w:rsidP="005077F7">
      <w:pPr>
        <w:numPr>
          <w:ilvl w:val="0"/>
          <w:numId w:val="56"/>
        </w:numPr>
        <w:spacing w:line="360" w:lineRule="auto"/>
        <w:jc w:val="both"/>
        <w:rPr>
          <w:bCs/>
        </w:rPr>
      </w:pPr>
      <w:r>
        <w:t xml:space="preserve">The term “close connection” is not defined and as such arbitrariness is brought in applying the provisions. </w:t>
      </w:r>
    </w:p>
    <w:p w:rsidR="00EC74B3" w:rsidRDefault="00EC74B3" w:rsidP="005077F7">
      <w:pPr>
        <w:numPr>
          <w:ilvl w:val="0"/>
          <w:numId w:val="56"/>
        </w:numPr>
        <w:spacing w:line="360" w:lineRule="auto"/>
        <w:jc w:val="both"/>
        <w:rPr>
          <w:bCs/>
        </w:rPr>
      </w:pPr>
      <w:r>
        <w:t>There are no detailed rules concerning documentation requirements.</w:t>
      </w:r>
      <w:r>
        <w:rPr>
          <w:bCs/>
        </w:rPr>
        <w:t xml:space="preserve"> </w:t>
      </w:r>
    </w:p>
    <w:p w:rsidR="00EC74B3" w:rsidRDefault="00EC74B3" w:rsidP="005077F7">
      <w:pPr>
        <w:numPr>
          <w:ilvl w:val="0"/>
          <w:numId w:val="56"/>
        </w:numPr>
        <w:spacing w:line="360" w:lineRule="auto"/>
        <w:jc w:val="both"/>
        <w:rPr>
          <w:bCs/>
        </w:rPr>
      </w:pPr>
      <w:r>
        <w:rPr>
          <w:bCs/>
        </w:rPr>
        <w:t>The entire burden of proof is on the Assessing Officer to show that due to transaction between resident and related non-resident the profits of the resident has been understated.</w:t>
      </w:r>
    </w:p>
    <w:p w:rsidR="00EC74B3" w:rsidRDefault="00EC74B3" w:rsidP="005077F7">
      <w:pPr>
        <w:numPr>
          <w:ilvl w:val="0"/>
          <w:numId w:val="56"/>
        </w:numPr>
        <w:spacing w:line="360" w:lineRule="auto"/>
        <w:jc w:val="both"/>
        <w:rPr>
          <w:bCs/>
        </w:rPr>
      </w:pPr>
      <w:r>
        <w:rPr>
          <w:bCs/>
        </w:rPr>
        <w:t>Rules 10 and 11, which are for determining ‘profits’ for the purpose of section 92 are not in accordance with the arm’s length principle. The reasons for rejecting the non-arm’s length approach are discussed in detail at pages 36-36 of this report.</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sz w:val="24"/>
          <w:lang w:val="en-GB"/>
        </w:rPr>
        <w:t>2.4.11</w:t>
      </w:r>
      <w:r>
        <w:rPr>
          <w:rFonts w:ascii="Times New Roman" w:hAnsi="Times New Roman" w:cs="Times New Roman"/>
          <w:b/>
          <w:sz w:val="24"/>
          <w:lang w:val="en-GB"/>
        </w:rPr>
        <w:tab/>
      </w:r>
      <w:r>
        <w:rPr>
          <w:rFonts w:ascii="Times New Roman" w:hAnsi="Times New Roman" w:cs="Times New Roman"/>
          <w:bCs/>
          <w:sz w:val="24"/>
          <w:lang w:val="en-GB"/>
        </w:rPr>
        <w:t xml:space="preserve">The Group is of the view that the remedy lies </w:t>
      </w:r>
      <w:proofErr w:type="gramStart"/>
      <w:r>
        <w:rPr>
          <w:rFonts w:ascii="Times New Roman" w:hAnsi="Times New Roman" w:cs="Times New Roman"/>
          <w:bCs/>
          <w:sz w:val="24"/>
          <w:lang w:val="en-GB"/>
        </w:rPr>
        <w:t>in  replacing</w:t>
      </w:r>
      <w:proofErr w:type="gramEnd"/>
      <w:r>
        <w:rPr>
          <w:rFonts w:ascii="Times New Roman" w:hAnsi="Times New Roman" w:cs="Times New Roman"/>
          <w:bCs/>
          <w:sz w:val="24"/>
          <w:lang w:val="en-GB"/>
        </w:rPr>
        <w:t xml:space="preserve"> section 92 by a comprehensive legislation to bring the same in line with the internationally accepted arm's length principle. The concept of arm's length needs to be incorporated in the Act itself. It needs to be specifically provided that transfer pricing adjustments would be made wherever it would be found that </w:t>
      </w:r>
    </w:p>
    <w:p w:rsidR="00EC74B3" w:rsidRDefault="00EC74B3" w:rsidP="005077F7">
      <w:pPr>
        <w:pStyle w:val="BodyText"/>
        <w:numPr>
          <w:ilvl w:val="0"/>
          <w:numId w:val="26"/>
        </w:numPr>
        <w:spacing w:line="360" w:lineRule="auto"/>
        <w:jc w:val="both"/>
        <w:rPr>
          <w:rFonts w:ascii="Times New Roman" w:hAnsi="Times New Roman" w:cs="Times New Roman"/>
          <w:sz w:val="24"/>
          <w:lang w:val="en-GB"/>
        </w:rPr>
      </w:pPr>
      <w:r>
        <w:rPr>
          <w:rFonts w:ascii="Times New Roman" w:hAnsi="Times New Roman" w:cs="Times New Roman"/>
          <w:bCs/>
          <w:sz w:val="24"/>
          <w:lang w:val="en-GB"/>
        </w:rPr>
        <w:t>The terms or conditions made or imposed, in respect of the transaction or series of transactions, between any of the participants in the transaction or series differ from those that would have been made between persons dealing at arm's length, or</w:t>
      </w:r>
    </w:p>
    <w:p w:rsidR="00EC74B3" w:rsidRDefault="00EC74B3" w:rsidP="005077F7">
      <w:pPr>
        <w:pStyle w:val="BodyText"/>
        <w:numPr>
          <w:ilvl w:val="0"/>
          <w:numId w:val="26"/>
        </w:numPr>
        <w:spacing w:line="360" w:lineRule="auto"/>
        <w:jc w:val="both"/>
        <w:rPr>
          <w:rFonts w:ascii="Times New Roman" w:hAnsi="Times New Roman" w:cs="Times New Roman"/>
          <w:sz w:val="24"/>
          <w:lang w:val="en-GB"/>
        </w:rPr>
      </w:pPr>
      <w:r>
        <w:rPr>
          <w:rFonts w:ascii="Times New Roman" w:hAnsi="Times New Roman" w:cs="Times New Roman"/>
          <w:bCs/>
          <w:sz w:val="24"/>
          <w:lang w:val="en-GB"/>
        </w:rPr>
        <w:lastRenderedPageBreak/>
        <w:t>The transaction would not have been entered into between persons dealing at arm's length.</w:t>
      </w:r>
    </w:p>
    <w:p w:rsidR="00EC74B3" w:rsidRDefault="00EC74B3">
      <w:pPr>
        <w:pStyle w:val="BodyTextIndent"/>
        <w:spacing w:line="360" w:lineRule="auto"/>
        <w:ind w:left="0" w:firstLine="0"/>
        <w:jc w:val="both"/>
        <w:rPr>
          <w:rFonts w:ascii="Times New Roman" w:hAnsi="Times New Roman" w:cs="Times New Roman"/>
          <w:lang w:val="en-GB"/>
        </w:rPr>
      </w:pPr>
      <w:r>
        <w:rPr>
          <w:rFonts w:ascii="Times New Roman" w:hAnsi="Times New Roman" w:cs="Times New Roman"/>
          <w:b/>
          <w:bCs/>
          <w:lang w:val="en-GB"/>
        </w:rPr>
        <w:t>2.4.12</w:t>
      </w:r>
      <w:r>
        <w:rPr>
          <w:rFonts w:ascii="Times New Roman" w:hAnsi="Times New Roman" w:cs="Times New Roman"/>
          <w:lang w:val="en-GB"/>
        </w:rPr>
        <w:tab/>
        <w:t>Apart from the tax laws, tax treaties are useful in handling the issues related to transfer pricing. These treaties could affect transfer pricing in two different ways. First, by providing specific clauses, the treaties define a specified base for allocation of income. And secondly, the treaties identify the transaction to which the basis would apply and provide for resolution of disputes.</w:t>
      </w:r>
    </w:p>
    <w:p w:rsidR="00EC74B3" w:rsidRDefault="00EC74B3">
      <w:pPr>
        <w:autoSpaceDE w:val="0"/>
        <w:autoSpaceDN w:val="0"/>
        <w:adjustRightInd w:val="0"/>
        <w:spacing w:line="360" w:lineRule="auto"/>
        <w:jc w:val="both"/>
      </w:pPr>
      <w:r>
        <w:t>So far India has entered into more than 70 Double Taxation Avoidance Treaties.</w:t>
      </w:r>
      <w:r>
        <w:rPr>
          <w:color w:val="0000FF"/>
        </w:rPr>
        <w:t xml:space="preserve"> </w:t>
      </w:r>
      <w:r>
        <w:t>These treaties provide a safeguard against transfer pricing abuse by the "Associated Enterprises" by incorporating article on “Associated Enterprises” following the OECD and the UN Models, which has been discussed earlier.</w:t>
      </w:r>
    </w:p>
    <w:p w:rsidR="00EC74B3" w:rsidRDefault="00EC74B3">
      <w:pPr>
        <w:autoSpaceDE w:val="0"/>
        <w:autoSpaceDN w:val="0"/>
        <w:adjustRightInd w:val="0"/>
        <w:spacing w:line="360" w:lineRule="auto"/>
        <w:jc w:val="both"/>
      </w:pPr>
      <w:r>
        <w:rPr>
          <w:b/>
          <w:bCs/>
        </w:rPr>
        <w:t>2.4.13</w:t>
      </w:r>
      <w:r>
        <w:tab/>
        <w:t xml:space="preserve">The Group’s attempt to collect information about successful implementation of the provisions of section has showed there had been very few cases in which this provision has been used. Even among those cases, there are only a couple of cases where the view of the Assessing Officer has been upheld at the first appellate level. In one of such cases, a company resident in India sold tea to its subsidiary in the US at a price much lower than that to independent parties in other countries. The invocation of section 92 by the Assessing Officer was upheld by the CIT (A). In another case, </w:t>
      </w:r>
      <w:proofErr w:type="gramStart"/>
      <w:r>
        <w:t>exports of spare parts by an engineering MNE to its parent company in the US was</w:t>
      </w:r>
      <w:proofErr w:type="gramEnd"/>
      <w:r>
        <w:t xml:space="preserve"> found to be understated. The action by the Assessing Officer in enhancing the rate of profit on such a transaction was upheld by the CIT (A). Apart from these, the Group has found that in other cases, where section 92 has been invoked CITs (A) have deleted the addition either on the ground that the Assessing Officers have failed to show that all the conditions laid down in section 92 are satisfied or no satisfactory reasons for adoption of a method for estimating profits have been given. </w:t>
      </w:r>
    </w:p>
    <w:p w:rsidR="00EC74B3" w:rsidRDefault="00EC74B3">
      <w:pPr>
        <w:autoSpaceDE w:val="0"/>
        <w:autoSpaceDN w:val="0"/>
        <w:adjustRightInd w:val="0"/>
        <w:spacing w:line="360" w:lineRule="auto"/>
        <w:jc w:val="both"/>
      </w:pPr>
      <w:r>
        <w:rPr>
          <w:b/>
          <w:bCs/>
        </w:rPr>
        <w:t>2.4.14</w:t>
      </w:r>
      <w:r>
        <w:tab/>
        <w:t xml:space="preserve">The effect that transfer pricing may have on the profitability of a company is also considered in the provisions of the Indian Companies Act, 1956. Section 211 dealing with the form and contents of the balance sheet and the profit and loss account requires that every profit and loss account of a company shall give a true and fair view of the profit or loss of the company for the financial year and shall, subject as aforesaid, comply with the requirements of Part II of Schedule VI, so far as they are applicable thereto. In addition, the Government of India, under the Companies Act has the power under section 233A to direct a special audit in certain cases. In addition, the central government is empowered under Section 233B of the Companies </w:t>
      </w:r>
      <w:r>
        <w:lastRenderedPageBreak/>
        <w:t>Act to order the audit of cost accounts in certain cases. Further, section 227 of the Companies Act specifies the duties of the auditors. Accordingly, an auditor is required to report under the Manufacturing and Other Companies (Auditor's Report) Order, 1988 (MAOCARO) whether purchases of goods and materials and sales of goods, materials and services between associated parties are made at prices which are reasonable having regard to comparable market prices for transactions with other parties.</w:t>
      </w:r>
      <w:r>
        <w:rPr>
          <w:color w:val="0000FF"/>
        </w:rPr>
        <w:t xml:space="preserve"> </w:t>
      </w:r>
      <w:r>
        <w:t xml:space="preserve"> These provisions can be useful in identifying cases of transfer pricing.</w:t>
      </w:r>
    </w:p>
    <w:p w:rsidR="00EC74B3" w:rsidRDefault="00EC74B3">
      <w:pPr>
        <w:pStyle w:val="BodyText"/>
        <w:spacing w:line="360" w:lineRule="auto"/>
        <w:jc w:val="both"/>
        <w:outlineLvl w:val="0"/>
        <w:rPr>
          <w:rFonts w:ascii="Times New Roman" w:hAnsi="Times New Roman" w:cs="Times New Roman"/>
          <w:b/>
          <w:sz w:val="24"/>
          <w:lang w:val="en-GB"/>
        </w:rPr>
      </w:pPr>
      <w:r>
        <w:rPr>
          <w:rFonts w:ascii="Times New Roman" w:hAnsi="Times New Roman" w:cs="Times New Roman"/>
          <w:b/>
          <w:sz w:val="24"/>
          <w:lang w:val="en-GB"/>
        </w:rPr>
        <w:t>Inadequacy of rules for maintenance of documents and accounts</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sz w:val="24"/>
          <w:lang w:val="en-GB"/>
        </w:rPr>
        <w:t>2.5.1</w:t>
      </w:r>
      <w:r>
        <w:rPr>
          <w:rFonts w:ascii="Times New Roman" w:hAnsi="Times New Roman" w:cs="Times New Roman"/>
          <w:bCs/>
          <w:sz w:val="24"/>
          <w:lang w:val="en-GB"/>
        </w:rPr>
        <w:tab/>
        <w:t xml:space="preserve">It has been argued earlier that the documentation requirements and maintenance of accounts for transfer pricing is quite different from normal transactions because of the special relationship between the parties involved in the transactions. In cases of intra-firm transactions the factors responsible for determining the prices are within the knowledge of the parties, and therefore it is necessary for tax administration to call for contemporary documents during the examination process. There is a definite need to specify the books of account and documents that would be required for determining transfer prices conforming to the arm's length conditions. Taxpayers should be obliged to produce contemporaneous documents that should provide a complete and accurate description of </w:t>
      </w:r>
    </w:p>
    <w:p w:rsidR="00EC74B3" w:rsidRDefault="00EC74B3" w:rsidP="005077F7">
      <w:pPr>
        <w:pStyle w:val="BodyText"/>
        <w:numPr>
          <w:ilvl w:val="0"/>
          <w:numId w:val="25"/>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The goods or services transacted;</w:t>
      </w:r>
    </w:p>
    <w:p w:rsidR="00EC74B3" w:rsidRDefault="00EC74B3" w:rsidP="005077F7">
      <w:pPr>
        <w:pStyle w:val="BodyText"/>
        <w:numPr>
          <w:ilvl w:val="0"/>
          <w:numId w:val="25"/>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The circumstances accompanying the transaction;</w:t>
      </w:r>
    </w:p>
    <w:p w:rsidR="00EC74B3" w:rsidRDefault="00EC74B3" w:rsidP="005077F7">
      <w:pPr>
        <w:pStyle w:val="BodyText"/>
        <w:numPr>
          <w:ilvl w:val="0"/>
          <w:numId w:val="25"/>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The identity of the parties involved in the transaction and the relationships among them;</w:t>
      </w:r>
    </w:p>
    <w:p w:rsidR="00EC74B3" w:rsidRDefault="00EC74B3" w:rsidP="005077F7">
      <w:pPr>
        <w:pStyle w:val="BodyText"/>
        <w:numPr>
          <w:ilvl w:val="0"/>
          <w:numId w:val="25"/>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The functions performed by each party to the transaction and risks taken by them;</w:t>
      </w:r>
    </w:p>
    <w:p w:rsidR="00EC74B3" w:rsidRDefault="00EC74B3" w:rsidP="005077F7">
      <w:pPr>
        <w:pStyle w:val="BodyText"/>
        <w:numPr>
          <w:ilvl w:val="0"/>
          <w:numId w:val="25"/>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 xml:space="preserve">The data and methods considered and the analysis performed to determine the transfer prices or the allocation of profits or losses or contribution to costs, as the case may be, in respect </w:t>
      </w:r>
      <w:proofErr w:type="gramStart"/>
      <w:r>
        <w:rPr>
          <w:rFonts w:ascii="Times New Roman" w:hAnsi="Times New Roman" w:cs="Times New Roman"/>
          <w:bCs/>
          <w:sz w:val="24"/>
          <w:lang w:val="en-GB"/>
        </w:rPr>
        <w:t>of  such</w:t>
      </w:r>
      <w:proofErr w:type="gramEnd"/>
      <w:r>
        <w:rPr>
          <w:rFonts w:ascii="Times New Roman" w:hAnsi="Times New Roman" w:cs="Times New Roman"/>
          <w:bCs/>
          <w:sz w:val="24"/>
          <w:lang w:val="en-GB"/>
        </w:rPr>
        <w:t xml:space="preserve"> transactions.</w:t>
      </w:r>
    </w:p>
    <w:p w:rsidR="00EC74B3" w:rsidRDefault="00EC74B3">
      <w:pPr>
        <w:pStyle w:val="BodyText"/>
        <w:spacing w:line="360" w:lineRule="auto"/>
        <w:jc w:val="both"/>
        <w:rPr>
          <w:rFonts w:ascii="Times New Roman" w:hAnsi="Times New Roman" w:cs="Times New Roman"/>
          <w:bCs/>
          <w:sz w:val="24"/>
          <w:lang w:val="en-GB"/>
        </w:rPr>
      </w:pPr>
    </w:p>
    <w:p w:rsidR="00EC74B3" w:rsidRDefault="00EC74B3">
      <w:pPr>
        <w:pStyle w:val="BodyText"/>
        <w:spacing w:line="360" w:lineRule="auto"/>
        <w:jc w:val="both"/>
        <w:outlineLvl w:val="0"/>
        <w:rPr>
          <w:rFonts w:ascii="Times New Roman" w:hAnsi="Times New Roman" w:cs="Times New Roman"/>
          <w:b/>
          <w:sz w:val="24"/>
          <w:u w:val="single"/>
          <w:lang w:val="en-GB"/>
        </w:rPr>
      </w:pPr>
    </w:p>
    <w:p w:rsidR="00EC74B3" w:rsidRDefault="00EC74B3">
      <w:pPr>
        <w:pStyle w:val="BodyText"/>
        <w:spacing w:line="360" w:lineRule="auto"/>
        <w:jc w:val="both"/>
        <w:outlineLvl w:val="0"/>
        <w:rPr>
          <w:rFonts w:ascii="Times New Roman" w:hAnsi="Times New Roman" w:cs="Times New Roman"/>
          <w:b/>
          <w:sz w:val="24"/>
          <w:u w:val="single"/>
          <w:lang w:val="en-GB"/>
        </w:rPr>
      </w:pPr>
    </w:p>
    <w:p w:rsidR="00EC74B3" w:rsidRDefault="00EC74B3">
      <w:pPr>
        <w:pStyle w:val="BodyText"/>
        <w:spacing w:line="360" w:lineRule="auto"/>
        <w:jc w:val="both"/>
        <w:rPr>
          <w:rFonts w:ascii="Times New Roman" w:hAnsi="Times New Roman" w:cs="Times New Roman"/>
          <w:b/>
          <w:sz w:val="24"/>
          <w:u w:val="single"/>
          <w:lang w:val="en-GB"/>
        </w:rPr>
      </w:pPr>
      <w:r>
        <w:rPr>
          <w:rFonts w:ascii="Times New Roman" w:hAnsi="Times New Roman" w:cs="Times New Roman"/>
          <w:b/>
          <w:sz w:val="24"/>
          <w:u w:val="single"/>
          <w:lang w:val="en-GB"/>
        </w:rPr>
        <w:t>Suggestions</w:t>
      </w:r>
    </w:p>
    <w:p w:rsidR="00EC74B3" w:rsidRDefault="00EC74B3" w:rsidP="005077F7">
      <w:pPr>
        <w:pStyle w:val="BodyText"/>
        <w:numPr>
          <w:ilvl w:val="1"/>
          <w:numId w:val="57"/>
        </w:numPr>
        <w:tabs>
          <w:tab w:val="clear" w:pos="360"/>
          <w:tab w:val="num" w:pos="0"/>
        </w:tabs>
        <w:spacing w:line="360" w:lineRule="auto"/>
        <w:ind w:left="0" w:firstLine="0"/>
        <w:jc w:val="both"/>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 xml:space="preserve">After examining the concept of transfer pricing, the Group feels that in view of the fact that transfer pricing is not a perfect science, there can always be possibility of difference of opinion between taxpayers and tax administration in interpreting the </w:t>
      </w:r>
      <w:r>
        <w:rPr>
          <w:rFonts w:ascii="Times New Roman" w:hAnsi="Times New Roman" w:cs="Times New Roman"/>
          <w:sz w:val="24"/>
        </w:rPr>
        <w:lastRenderedPageBreak/>
        <w:t xml:space="preserve">legal provisions. To minimise this, it is necessary that an efficient transfer pricing system should be introduced.  To facilitate its smooth implementation, both from the taxpayers and tax administration point of view, detailed guidelines should be framed by the Income Tax Department clarifying various aspects of the system such as the arm's length principle, methods of adjustment, documentation etc. </w:t>
      </w:r>
    </w:p>
    <w:p w:rsidR="00EC74B3" w:rsidRDefault="00EC74B3">
      <w:pPr>
        <w:pStyle w:val="BodyText"/>
        <w:spacing w:line="360" w:lineRule="auto"/>
        <w:jc w:val="both"/>
        <w:rPr>
          <w:rFonts w:ascii="Times New Roman" w:hAnsi="Times New Roman" w:cs="Times New Roman"/>
          <w:sz w:val="24"/>
        </w:rPr>
      </w:pPr>
      <w:r>
        <w:rPr>
          <w:rFonts w:ascii="Times New Roman" w:hAnsi="Times New Roman" w:cs="Times New Roman"/>
          <w:sz w:val="24"/>
        </w:rPr>
        <w:br w:type="page"/>
      </w:r>
    </w:p>
    <w:p w:rsidR="00EC74B3" w:rsidRDefault="00EC74B3">
      <w:pPr>
        <w:pStyle w:val="BodyText"/>
        <w:spacing w:line="360" w:lineRule="auto"/>
      </w:pPr>
      <w:r>
        <w:t>CHAPTER III</w:t>
      </w:r>
    </w:p>
    <w:p w:rsidR="00EC74B3" w:rsidRDefault="00EC74B3">
      <w:pPr>
        <w:pStyle w:val="Heading1"/>
        <w:spacing w:line="360" w:lineRule="auto"/>
        <w:jc w:val="center"/>
        <w:rPr>
          <w:rFonts w:ascii="Times New Roman" w:hAnsi="Times New Roman" w:cs="Times New Roman"/>
          <w:bCs w:val="0"/>
          <w:lang w:val="en-GB"/>
        </w:rPr>
      </w:pPr>
      <w:r>
        <w:rPr>
          <w:rFonts w:ascii="Times New Roman" w:hAnsi="Times New Roman" w:cs="Times New Roman"/>
          <w:bCs w:val="0"/>
          <w:lang w:val="en-GB"/>
        </w:rPr>
        <w:t xml:space="preserve">Transfer Pricing System and </w:t>
      </w:r>
      <w:proofErr w:type="gramStart"/>
      <w:r>
        <w:rPr>
          <w:rFonts w:ascii="Times New Roman" w:hAnsi="Times New Roman" w:cs="Times New Roman"/>
          <w:bCs w:val="0"/>
          <w:lang w:val="en-GB"/>
        </w:rPr>
        <w:t>The</w:t>
      </w:r>
      <w:proofErr w:type="gramEnd"/>
      <w:r>
        <w:rPr>
          <w:rFonts w:ascii="Times New Roman" w:hAnsi="Times New Roman" w:cs="Times New Roman"/>
          <w:bCs w:val="0"/>
          <w:lang w:val="en-GB"/>
        </w:rPr>
        <w:t xml:space="preserve"> Arm's Length Principle</w:t>
      </w:r>
    </w:p>
    <w:p w:rsidR="00EC74B3" w:rsidRDefault="00EC74B3">
      <w:pPr>
        <w:pStyle w:val="Heading1"/>
        <w:autoSpaceDE/>
        <w:autoSpaceDN/>
        <w:adjustRightInd/>
        <w:rPr>
          <w:rFonts w:ascii="Times New Roman" w:hAnsi="Times New Roman" w:cs="Times New Roman"/>
          <w:lang w:val="en-GB"/>
        </w:rPr>
      </w:pPr>
      <w:r>
        <w:rPr>
          <w:rFonts w:ascii="Times New Roman" w:hAnsi="Times New Roman" w:cs="Times New Roman"/>
          <w:lang w:val="en-GB"/>
        </w:rPr>
        <w:t>Arm’s Length Principle</w:t>
      </w:r>
    </w:p>
    <w:p w:rsidR="00EC74B3" w:rsidRDefault="00EC74B3">
      <w:pPr>
        <w:pStyle w:val="BodyText2"/>
        <w:tabs>
          <w:tab w:val="clear" w:pos="1260"/>
          <w:tab w:val="left" w:pos="720"/>
        </w:tabs>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3.1.1 </w:t>
      </w:r>
      <w:r>
        <w:rPr>
          <w:rFonts w:ascii="Times New Roman" w:hAnsi="Times New Roman" w:cs="Times New Roman"/>
          <w:b w:val="0"/>
          <w:bCs w:val="0"/>
          <w:lang w:val="en-GB"/>
        </w:rPr>
        <w:t xml:space="preserve">As discussed in the previous chapter, the arm’s length principle has come to be regarded as the most appropriate principle for determining transfer price. This principle envisages attempt to determine a price that would be obtainable had the transaction taken place between independent parties in uncontrolled conditions. The methods based on this principle compare the conditions determining transaction between associated enterprises with those determining the similar transaction between independent enterprises under similar conditions. </w:t>
      </w:r>
    </w:p>
    <w:p w:rsidR="00EC74B3" w:rsidRDefault="00EC74B3">
      <w:pPr>
        <w:pStyle w:val="BodyText2"/>
        <w:tabs>
          <w:tab w:val="clear" w:pos="1260"/>
          <w:tab w:val="clear" w:pos="1728"/>
          <w:tab w:val="left" w:pos="720"/>
        </w:tabs>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3.1.2 </w:t>
      </w:r>
      <w:r>
        <w:rPr>
          <w:rFonts w:ascii="Times New Roman" w:hAnsi="Times New Roman" w:cs="Times New Roman"/>
          <w:b w:val="0"/>
          <w:bCs w:val="0"/>
          <w:lang w:val="en-GB"/>
        </w:rPr>
        <w:t>Due to complexities involved in transfer pricing adoption of different methods, at times, may give different values of a transaction.  A range of such arm’s length price is known as “arm’s length range”. In such situations, no adjustments need to be made if the price/range of the controlled transaction lies within the range.</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Ideally, each transaction should be examined separately. However, if a chain of transactions consists of transactions that are closely inter-connected and cannot be separated for evaluation then the arm’s length principle should be applied to the chain itself.</w:t>
      </w:r>
    </w:p>
    <w:p w:rsidR="00EC74B3" w:rsidRDefault="00EC74B3">
      <w:pPr>
        <w:pStyle w:val="BodyText2"/>
        <w:tabs>
          <w:tab w:val="clear" w:pos="1260"/>
          <w:tab w:val="left" w:pos="720"/>
        </w:tabs>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3.1.3 </w:t>
      </w:r>
      <w:r>
        <w:rPr>
          <w:rFonts w:ascii="Times New Roman" w:hAnsi="Times New Roman" w:cs="Times New Roman"/>
          <w:b w:val="0"/>
          <w:bCs w:val="0"/>
          <w:lang w:val="en-GB"/>
        </w:rPr>
        <w:t xml:space="preserve">The major advantages of this principle are: - </w:t>
      </w:r>
    </w:p>
    <w:p w:rsidR="00EC74B3" w:rsidRDefault="00EC74B3" w:rsidP="005077F7">
      <w:pPr>
        <w:pStyle w:val="BodyText2"/>
        <w:numPr>
          <w:ilvl w:val="0"/>
          <w:numId w:val="31"/>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It is based on the concept that the market forces are the best way to allocate resources and profits.</w:t>
      </w:r>
    </w:p>
    <w:p w:rsidR="00EC74B3" w:rsidRDefault="00EC74B3" w:rsidP="005077F7">
      <w:pPr>
        <w:pStyle w:val="BodyText2"/>
        <w:numPr>
          <w:ilvl w:val="0"/>
          <w:numId w:val="31"/>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It provides broad parity of tax treatment for MNEs and independent enterprises, whereby it avoids the creation of tax advantage that would otherwise distort the relative competitive position of either type of entity. </w:t>
      </w:r>
    </w:p>
    <w:p w:rsidR="00EC74B3" w:rsidRDefault="00EC74B3" w:rsidP="005077F7">
      <w:pPr>
        <w:pStyle w:val="BodyText2"/>
        <w:numPr>
          <w:ilvl w:val="0"/>
          <w:numId w:val="31"/>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arm’s length principle is applicable in vast majority of cases.</w:t>
      </w:r>
    </w:p>
    <w:p w:rsidR="00EC74B3" w:rsidRDefault="00EC74B3" w:rsidP="005077F7">
      <w:pPr>
        <w:pStyle w:val="BodyText2"/>
        <w:numPr>
          <w:ilvl w:val="0"/>
          <w:numId w:val="31"/>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There is no alternative to the arm’s length principle that has universal acceptance.</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3.1.4 </w:t>
      </w:r>
      <w:r>
        <w:rPr>
          <w:rFonts w:ascii="Times New Roman" w:hAnsi="Times New Roman" w:cs="Times New Roman"/>
          <w:b w:val="0"/>
          <w:bCs w:val="0"/>
          <w:lang w:val="en-GB"/>
        </w:rPr>
        <w:t>Some times it may not be easy to identify an exact comparable making the application of this principle difficult. This would arise in those cases where special conditions are built into intra-firm transactions that may not be common in tranactions between independent enterprises.</w:t>
      </w:r>
    </w:p>
    <w:p w:rsidR="00EC74B3" w:rsidRDefault="00EC74B3">
      <w:pPr>
        <w:pStyle w:val="Heading1"/>
        <w:spacing w:line="360" w:lineRule="auto"/>
        <w:jc w:val="both"/>
        <w:rPr>
          <w:rFonts w:ascii="Times New Roman" w:hAnsi="Times New Roman" w:cs="Times New Roman"/>
          <w:u w:val="single"/>
          <w:lang w:val="en-GB"/>
        </w:rPr>
      </w:pPr>
      <w:r>
        <w:rPr>
          <w:rFonts w:ascii="Times New Roman" w:hAnsi="Times New Roman" w:cs="Times New Roman"/>
          <w:u w:val="single"/>
          <w:lang w:val="en-GB"/>
        </w:rPr>
        <w:lastRenderedPageBreak/>
        <w:t xml:space="preserve">Methods for Determining Arm's Length Prices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3.2.1 </w:t>
      </w:r>
      <w:r>
        <w:rPr>
          <w:rFonts w:ascii="Times New Roman" w:hAnsi="Times New Roman" w:cs="Times New Roman"/>
          <w:b w:val="0"/>
          <w:bCs w:val="0"/>
          <w:lang w:val="en-GB"/>
        </w:rPr>
        <w:t>The internationally accepted methodologies for the purpose of determining transfer prices in accordance with the arm's length principle can be divided into two groups:</w:t>
      </w:r>
    </w:p>
    <w:p w:rsidR="00EC74B3" w:rsidRDefault="00EC74B3" w:rsidP="005077F7">
      <w:pPr>
        <w:pStyle w:val="BodyText2"/>
        <w:numPr>
          <w:ilvl w:val="0"/>
          <w:numId w:val="36"/>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traditional transaction methods ('traditional methods)':</w:t>
      </w:r>
    </w:p>
    <w:p w:rsidR="00EC74B3" w:rsidRDefault="00EC74B3" w:rsidP="005077F7">
      <w:pPr>
        <w:numPr>
          <w:ilvl w:val="2"/>
          <w:numId w:val="44"/>
        </w:numPr>
        <w:spacing w:line="360" w:lineRule="auto"/>
        <w:jc w:val="both"/>
      </w:pPr>
      <w:r>
        <w:t>The comparable uncontrolled price (CUP) method;</w:t>
      </w:r>
    </w:p>
    <w:p w:rsidR="00EC74B3" w:rsidRDefault="00EC74B3" w:rsidP="005077F7">
      <w:pPr>
        <w:numPr>
          <w:ilvl w:val="2"/>
          <w:numId w:val="44"/>
        </w:numPr>
        <w:spacing w:line="360" w:lineRule="auto"/>
        <w:jc w:val="both"/>
      </w:pPr>
      <w:r>
        <w:t>The resale price (RP) method; and</w:t>
      </w:r>
    </w:p>
    <w:p w:rsidR="00EC74B3" w:rsidRDefault="00EC74B3" w:rsidP="005077F7">
      <w:pPr>
        <w:numPr>
          <w:ilvl w:val="2"/>
          <w:numId w:val="44"/>
        </w:numPr>
        <w:spacing w:line="360" w:lineRule="auto"/>
        <w:jc w:val="both"/>
      </w:pPr>
      <w:r>
        <w:t>The cost plus (CP) method.</w:t>
      </w:r>
    </w:p>
    <w:p w:rsidR="00EC74B3" w:rsidRDefault="00EC74B3" w:rsidP="005077F7">
      <w:pPr>
        <w:pStyle w:val="BodyText2"/>
        <w:numPr>
          <w:ilvl w:val="0"/>
          <w:numId w:val="36"/>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transactional profit methods ('profits methods'):</w:t>
      </w:r>
    </w:p>
    <w:p w:rsidR="00EC74B3" w:rsidRDefault="00EC74B3" w:rsidP="005077F7">
      <w:pPr>
        <w:pStyle w:val="BodyText2"/>
        <w:numPr>
          <w:ilvl w:val="0"/>
          <w:numId w:val="37"/>
        </w:numPr>
        <w:tabs>
          <w:tab w:val="num" w:pos="2304"/>
        </w:tabs>
        <w:spacing w:line="360" w:lineRule="auto"/>
        <w:ind w:left="2304"/>
        <w:jc w:val="both"/>
        <w:rPr>
          <w:rFonts w:ascii="Times New Roman" w:hAnsi="Times New Roman" w:cs="Times New Roman"/>
          <w:b w:val="0"/>
          <w:bCs w:val="0"/>
          <w:lang w:val="en-GB"/>
        </w:rPr>
      </w:pPr>
      <w:r>
        <w:rPr>
          <w:rFonts w:ascii="Times New Roman" w:hAnsi="Times New Roman" w:cs="Times New Roman"/>
          <w:b w:val="0"/>
          <w:bCs w:val="0"/>
          <w:lang w:val="en-GB"/>
        </w:rPr>
        <w:t>The profit split (PS) method; and</w:t>
      </w:r>
    </w:p>
    <w:p w:rsidR="00EC74B3" w:rsidRDefault="00EC74B3" w:rsidP="005077F7">
      <w:pPr>
        <w:pStyle w:val="BodyText2"/>
        <w:numPr>
          <w:ilvl w:val="0"/>
          <w:numId w:val="37"/>
        </w:numPr>
        <w:tabs>
          <w:tab w:val="num" w:pos="2304"/>
        </w:tabs>
        <w:spacing w:line="360" w:lineRule="auto"/>
        <w:ind w:left="2304"/>
        <w:jc w:val="both"/>
        <w:rPr>
          <w:rFonts w:ascii="Times New Roman" w:hAnsi="Times New Roman" w:cs="Times New Roman"/>
          <w:b w:val="0"/>
          <w:bCs w:val="0"/>
          <w:lang w:val="en-GB"/>
        </w:rPr>
      </w:pPr>
      <w:r>
        <w:rPr>
          <w:rFonts w:ascii="Times New Roman" w:hAnsi="Times New Roman" w:cs="Times New Roman"/>
          <w:b w:val="0"/>
          <w:bCs w:val="0"/>
          <w:lang w:val="en-GB"/>
        </w:rPr>
        <w:t>The transactional net margin method (TNMM).</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3.2.2 </w:t>
      </w:r>
      <w:r>
        <w:rPr>
          <w:rFonts w:ascii="Times New Roman" w:hAnsi="Times New Roman" w:cs="Times New Roman"/>
          <w:b w:val="0"/>
          <w:bCs w:val="0"/>
          <w:lang w:val="en-GB"/>
        </w:rPr>
        <w:t>While choosing the most appropriate transfer pricing method or methods the factors that should be considered are:</w:t>
      </w:r>
    </w:p>
    <w:p w:rsidR="00EC74B3" w:rsidRDefault="00EC74B3" w:rsidP="005077F7">
      <w:pPr>
        <w:pStyle w:val="BodyText2"/>
        <w:numPr>
          <w:ilvl w:val="0"/>
          <w:numId w:val="35"/>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nature of the activities being examined;</w:t>
      </w:r>
    </w:p>
    <w:p w:rsidR="00EC74B3" w:rsidRDefault="00EC74B3" w:rsidP="005077F7">
      <w:pPr>
        <w:pStyle w:val="BodyText2"/>
        <w:numPr>
          <w:ilvl w:val="0"/>
          <w:numId w:val="35"/>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availability, coverage, and reliability of the data ;</w:t>
      </w:r>
    </w:p>
    <w:p w:rsidR="00EC74B3" w:rsidRDefault="00EC74B3" w:rsidP="005077F7">
      <w:pPr>
        <w:pStyle w:val="BodyText2"/>
        <w:numPr>
          <w:ilvl w:val="0"/>
          <w:numId w:val="35"/>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degree of comparability that exists between the controlled and uncontrolled dealings or between enterprises undertaking and dealings including all the circumstances in which the dealings took place; and</w:t>
      </w:r>
    </w:p>
    <w:p w:rsidR="00EC74B3" w:rsidRDefault="00EC74B3" w:rsidP="005077F7">
      <w:pPr>
        <w:pStyle w:val="BodyText2"/>
        <w:numPr>
          <w:ilvl w:val="0"/>
          <w:numId w:val="35"/>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nature and extent of any assumptions.</w:t>
      </w:r>
    </w:p>
    <w:p w:rsidR="00EC74B3" w:rsidRDefault="00EC74B3">
      <w:pPr>
        <w:pStyle w:val="BodyText2"/>
        <w:spacing w:line="360" w:lineRule="auto"/>
        <w:jc w:val="both"/>
        <w:rPr>
          <w:rFonts w:ascii="Times New Roman" w:hAnsi="Times New Roman" w:cs="Times New Roman"/>
          <w:bCs w:val="0"/>
          <w:lang w:val="en-GB"/>
        </w:rPr>
      </w:pPr>
      <w:r>
        <w:rPr>
          <w:rFonts w:ascii="Times New Roman" w:hAnsi="Times New Roman" w:cs="Times New Roman"/>
          <w:bCs w:val="0"/>
          <w:lang w:val="en-GB"/>
        </w:rPr>
        <w:t>A</w:t>
      </w:r>
      <w:r>
        <w:rPr>
          <w:rFonts w:ascii="Times New Roman" w:hAnsi="Times New Roman" w:cs="Times New Roman"/>
          <w:b w:val="0"/>
          <w:lang w:val="en-GB"/>
        </w:rPr>
        <w:t xml:space="preserve">. </w:t>
      </w:r>
      <w:r>
        <w:rPr>
          <w:rFonts w:ascii="Times New Roman" w:hAnsi="Times New Roman" w:cs="Times New Roman"/>
          <w:b w:val="0"/>
          <w:lang w:val="en-GB"/>
        </w:rPr>
        <w:tab/>
      </w:r>
      <w:r>
        <w:rPr>
          <w:rFonts w:ascii="Times New Roman" w:hAnsi="Times New Roman" w:cs="Times New Roman"/>
          <w:bCs w:val="0"/>
          <w:lang w:val="en-GB"/>
        </w:rPr>
        <w:t>Traditional transaction methods</w:t>
      </w:r>
    </w:p>
    <w:p w:rsidR="00EC74B3" w:rsidRDefault="00EC74B3">
      <w:pPr>
        <w:pStyle w:val="BodyText2"/>
        <w:spacing w:line="360" w:lineRule="auto"/>
        <w:jc w:val="both"/>
        <w:rPr>
          <w:rFonts w:ascii="Times New Roman" w:hAnsi="Times New Roman" w:cs="Times New Roman"/>
          <w:b w:val="0"/>
          <w:lang w:val="en-GB"/>
        </w:rPr>
      </w:pPr>
      <w:r>
        <w:rPr>
          <w:rFonts w:ascii="Times New Roman" w:hAnsi="Times New Roman" w:cs="Times New Roman"/>
          <w:lang w:val="en-GB"/>
        </w:rPr>
        <w:t xml:space="preserve">3.3.1 </w:t>
      </w:r>
      <w:r>
        <w:rPr>
          <w:rFonts w:ascii="Times New Roman" w:hAnsi="Times New Roman" w:cs="Times New Roman"/>
          <w:b w:val="0"/>
          <w:bCs w:val="0"/>
          <w:lang w:val="en-GB"/>
        </w:rPr>
        <w:t>The traditional transaction methods are considered the most direct methods for applying the arm’s length principle because here the matter for comparison is the “price” of the transacted item.</w:t>
      </w:r>
    </w:p>
    <w:p w:rsidR="00EC74B3" w:rsidRDefault="00EC74B3" w:rsidP="005077F7">
      <w:pPr>
        <w:pStyle w:val="BodyText2"/>
        <w:numPr>
          <w:ilvl w:val="0"/>
          <w:numId w:val="33"/>
        </w:numPr>
        <w:spacing w:line="360" w:lineRule="auto"/>
        <w:jc w:val="both"/>
        <w:rPr>
          <w:rFonts w:ascii="Times New Roman" w:hAnsi="Times New Roman" w:cs="Times New Roman"/>
          <w:u w:val="single"/>
          <w:lang w:val="en-GB"/>
        </w:rPr>
      </w:pPr>
      <w:r>
        <w:rPr>
          <w:rFonts w:ascii="Times New Roman" w:hAnsi="Times New Roman" w:cs="Times New Roman"/>
          <w:b w:val="0"/>
          <w:u w:val="single"/>
          <w:lang w:val="en-GB"/>
        </w:rPr>
        <w:t>Comparable uncontrolled price (CUP) method</w:t>
      </w:r>
    </w:p>
    <w:p w:rsidR="00EC74B3" w:rsidRDefault="00EC74B3">
      <w:pPr>
        <w:spacing w:line="360" w:lineRule="auto"/>
        <w:jc w:val="both"/>
      </w:pPr>
      <w:r>
        <w:rPr>
          <w:b/>
          <w:bCs/>
        </w:rPr>
        <w:t xml:space="preserve">3.3.2 </w:t>
      </w:r>
      <w:r>
        <w:t xml:space="preserve">The comparable uncontrolled price method offers the most direct way of determining an arm’s length price, and can be applied for determining transfer price of tangible and intangible property, interest rate for funds supplied and received, or fees for services provided or acquired. The price charged for property or services transferred in a controlled transaction is compared to the price charged for property or services transferred in a comparable uncontrolled transaction in comparable circumstances. If the two prices differ, the price in the controlled transaction would need to be substituted by that in uncontrolled transaction along with adjustment to account for the differences in the conditions accompanying the two transactions. </w:t>
      </w:r>
    </w:p>
    <w:p w:rsidR="00EC74B3" w:rsidRDefault="00EC74B3">
      <w:pPr>
        <w:spacing w:line="360" w:lineRule="auto"/>
        <w:ind w:firstLine="720"/>
        <w:jc w:val="both"/>
      </w:pPr>
      <w:r>
        <w:lastRenderedPageBreak/>
        <w:t xml:space="preserve">While all comparability factors need to be taken into consideration, the most important are the similarity of product, contract terms and economic/market conditions. For example, the prices of several internationally traded agricultural and mineral commodities often differ on the locations from where these come. Also important are factors like volumes, discounts, interest free periods, the exchange rate exposure, and the relative bargaining power and strategies of buyers and sellers. Business strategies like price competition and marketing intangibles like brand names can also have impact on prices. </w:t>
      </w:r>
    </w:p>
    <w:p w:rsidR="00EC74B3" w:rsidRDefault="00EC74B3" w:rsidP="005077F7">
      <w:pPr>
        <w:pStyle w:val="BodyText2"/>
        <w:numPr>
          <w:ilvl w:val="0"/>
          <w:numId w:val="33"/>
        </w:numPr>
        <w:tabs>
          <w:tab w:val="num" w:pos="1224"/>
        </w:tabs>
        <w:spacing w:line="360" w:lineRule="auto"/>
        <w:ind w:left="780"/>
        <w:jc w:val="both"/>
        <w:rPr>
          <w:rFonts w:ascii="Times New Roman" w:hAnsi="Times New Roman" w:cs="Times New Roman"/>
          <w:u w:val="single"/>
          <w:lang w:val="en-GB"/>
        </w:rPr>
      </w:pPr>
      <w:r>
        <w:rPr>
          <w:rFonts w:ascii="Times New Roman" w:hAnsi="Times New Roman" w:cs="Times New Roman"/>
          <w:b w:val="0"/>
          <w:u w:val="single"/>
          <w:lang w:val="en-GB"/>
        </w:rPr>
        <w:t>Resale price (RP) method</w:t>
      </w:r>
    </w:p>
    <w:p w:rsidR="00EC74B3" w:rsidRDefault="00EC74B3">
      <w:pPr>
        <w:spacing w:line="360" w:lineRule="auto"/>
        <w:jc w:val="both"/>
      </w:pPr>
      <w:r>
        <w:rPr>
          <w:b/>
          <w:bCs/>
        </w:rPr>
        <w:t xml:space="preserve">3.3.3 </w:t>
      </w:r>
      <w:r>
        <w:t xml:space="preserve">The resale price method is normally used in the absence of an acceptable comparable and is considered to be the best method where the controlled taxpayer does not add substantial value to a product. The resale price method begins with the price at which a product, which has been purchased from an associate enterprise, is resold to an independent enterprise. This price (the resale price) is then reduced by an appropriate gross margin or the “resale price margin”. This represents the amount out of which a reseller would seek to cover its selling and other expenses and make an appropriate profit considering the functions performed, assets used and risks assumed. </w:t>
      </w:r>
    </w:p>
    <w:p w:rsidR="00EC74B3" w:rsidRDefault="00EC74B3">
      <w:pPr>
        <w:spacing w:line="360" w:lineRule="auto"/>
        <w:jc w:val="both"/>
      </w:pPr>
      <w:r>
        <w:t>The margin in controlled dealing is compared against either:</w:t>
      </w:r>
    </w:p>
    <w:p w:rsidR="00EC74B3" w:rsidRDefault="00EC74B3" w:rsidP="005077F7">
      <w:pPr>
        <w:numPr>
          <w:ilvl w:val="0"/>
          <w:numId w:val="38"/>
        </w:numPr>
        <w:spacing w:line="360" w:lineRule="auto"/>
        <w:jc w:val="both"/>
      </w:pPr>
      <w:r>
        <w:t>The resale price margin that the same reseller earns on the same items purchased or sold in comparable uncontrolled dealings, e.g., the profit margin obtained by the taxpayer from a comparable purchase of goods (involving similar functions and risks) from an unrelated party which are sold to another unrelated party; or</w:t>
      </w:r>
    </w:p>
    <w:p w:rsidR="00EC74B3" w:rsidRDefault="00EC74B3" w:rsidP="005077F7">
      <w:pPr>
        <w:numPr>
          <w:ilvl w:val="0"/>
          <w:numId w:val="38"/>
        </w:numPr>
        <w:spacing w:line="360" w:lineRule="auto"/>
        <w:jc w:val="both"/>
      </w:pPr>
      <w:r>
        <w:t>The resale price margin earned by an independent enterprise in comparable uncontrolled dealings.</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 xml:space="preserve">One of the methods for computing the resale profit margin is multiplying the applicable resale price by the gross profit margin (expressed as a percentage of total </w:t>
      </w:r>
      <w:proofErr w:type="gramStart"/>
      <w:r>
        <w:rPr>
          <w:rFonts w:ascii="Times New Roman" w:hAnsi="Times New Roman" w:cs="Times New Roman"/>
          <w:b w:val="0"/>
          <w:bCs w:val="0"/>
          <w:lang w:val="en-GB"/>
        </w:rPr>
        <w:t>sale</w:t>
      </w:r>
      <w:proofErr w:type="gramEnd"/>
      <w:r>
        <w:rPr>
          <w:rFonts w:ascii="Times New Roman" w:hAnsi="Times New Roman" w:cs="Times New Roman"/>
          <w:b w:val="0"/>
          <w:bCs w:val="0"/>
          <w:lang w:val="en-GB"/>
        </w:rPr>
        <w:t xml:space="preserve">) earned in comparable uncontrolled transaction.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The resale price method may not yield correct result where, the controlled party uses its intangibles to add substantial value to the tangible goods or before resale; goods are processed so that it loses its identity.  This method gives best result where time gap between purchase and resale is small. </w:t>
      </w:r>
    </w:p>
    <w:p w:rsidR="00EC74B3" w:rsidRDefault="00EC74B3" w:rsidP="005077F7">
      <w:pPr>
        <w:pStyle w:val="BodyText2"/>
        <w:numPr>
          <w:ilvl w:val="0"/>
          <w:numId w:val="33"/>
        </w:numPr>
        <w:spacing w:line="360" w:lineRule="auto"/>
        <w:jc w:val="both"/>
        <w:rPr>
          <w:rFonts w:ascii="Times New Roman" w:hAnsi="Times New Roman" w:cs="Times New Roman"/>
          <w:b w:val="0"/>
          <w:bCs w:val="0"/>
          <w:u w:val="single"/>
          <w:lang w:val="en-GB"/>
        </w:rPr>
      </w:pPr>
      <w:r>
        <w:rPr>
          <w:rFonts w:ascii="Times New Roman" w:hAnsi="Times New Roman" w:cs="Times New Roman"/>
          <w:b w:val="0"/>
          <w:bCs w:val="0"/>
          <w:u w:val="single"/>
          <w:lang w:val="en-GB"/>
        </w:rPr>
        <w:t>Cost plus (CP) method</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lastRenderedPageBreak/>
        <w:t xml:space="preserve">3.3.4 </w:t>
      </w:r>
      <w:r>
        <w:rPr>
          <w:rFonts w:ascii="Times New Roman" w:hAnsi="Times New Roman" w:cs="Times New Roman"/>
          <w:b w:val="0"/>
          <w:bCs w:val="0"/>
          <w:lang w:val="en-GB"/>
        </w:rPr>
        <w:t xml:space="preserve">The cost plus method of estimating an arm’s length price begins with the costs incurred by the supplier of property (or services) in a controlled transaction to which an appropriate mark-up is added to account for an appropriate profit considering the functions performed, assets involved and risk assumed.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3.3.5 </w:t>
      </w:r>
      <w:r>
        <w:rPr>
          <w:rFonts w:ascii="Times New Roman" w:hAnsi="Times New Roman" w:cs="Times New Roman"/>
          <w:b w:val="0"/>
          <w:bCs w:val="0"/>
          <w:lang w:val="en-GB"/>
        </w:rPr>
        <w:t>The important aspects for applying this method are identification of the costs that should be marked up and determination of the appropriate mark-up. The costs depend on the facts and circumstances of a transaction and no general rule for its determination can be laid down. It is the most appropriate method where the controlled taxpayer performs a manufacturing or assembly operations where goods are sold to associated enterprises. Compared to the CUP method this method is less dependent upon the physical similarities between the goods transacted and hence is very useful in circumstances such as the following:</w:t>
      </w:r>
    </w:p>
    <w:p w:rsidR="00EC74B3" w:rsidRDefault="00EC74B3" w:rsidP="005077F7">
      <w:pPr>
        <w:pStyle w:val="List2"/>
        <w:numPr>
          <w:ilvl w:val="0"/>
          <w:numId w:val="42"/>
        </w:numPr>
        <w:spacing w:line="360" w:lineRule="auto"/>
        <w:jc w:val="both"/>
        <w:rPr>
          <w:sz w:val="24"/>
        </w:rPr>
      </w:pPr>
      <w:r>
        <w:rPr>
          <w:sz w:val="24"/>
        </w:rPr>
        <w:t>When semi-finished products are sold between related parties;</w:t>
      </w:r>
    </w:p>
    <w:p w:rsidR="00EC74B3" w:rsidRDefault="00EC74B3" w:rsidP="005077F7">
      <w:pPr>
        <w:pStyle w:val="List2"/>
        <w:numPr>
          <w:ilvl w:val="0"/>
          <w:numId w:val="42"/>
        </w:numPr>
        <w:spacing w:line="360" w:lineRule="auto"/>
        <w:jc w:val="both"/>
        <w:rPr>
          <w:sz w:val="24"/>
        </w:rPr>
      </w:pPr>
      <w:r>
        <w:rPr>
          <w:sz w:val="24"/>
        </w:rPr>
        <w:t>When related parties have concluded joint facilities arrangement;</w:t>
      </w:r>
    </w:p>
    <w:p w:rsidR="00EC74B3" w:rsidRDefault="00EC74B3" w:rsidP="005077F7">
      <w:pPr>
        <w:pStyle w:val="List2"/>
        <w:numPr>
          <w:ilvl w:val="0"/>
          <w:numId w:val="42"/>
        </w:numPr>
        <w:spacing w:line="360" w:lineRule="auto"/>
        <w:jc w:val="both"/>
        <w:rPr>
          <w:sz w:val="24"/>
        </w:rPr>
      </w:pPr>
      <w:r>
        <w:rPr>
          <w:sz w:val="24"/>
        </w:rPr>
        <w:t>When long-term buy-and -supply arrangement is made between related parties;</w:t>
      </w:r>
    </w:p>
    <w:p w:rsidR="00EC74B3" w:rsidRDefault="00EC74B3" w:rsidP="005077F7">
      <w:pPr>
        <w:pStyle w:val="List2"/>
        <w:numPr>
          <w:ilvl w:val="0"/>
          <w:numId w:val="42"/>
        </w:numPr>
        <w:spacing w:line="360" w:lineRule="auto"/>
        <w:jc w:val="both"/>
        <w:rPr>
          <w:sz w:val="24"/>
        </w:rPr>
      </w:pPr>
      <w:r>
        <w:rPr>
          <w:sz w:val="24"/>
        </w:rPr>
        <w:t>When the controlled transaction is the provision of services;</w:t>
      </w:r>
    </w:p>
    <w:p w:rsidR="00EC74B3" w:rsidRDefault="00EC74B3" w:rsidP="005077F7">
      <w:pPr>
        <w:pStyle w:val="List2"/>
        <w:numPr>
          <w:ilvl w:val="0"/>
          <w:numId w:val="42"/>
        </w:numPr>
        <w:spacing w:line="360" w:lineRule="auto"/>
        <w:jc w:val="both"/>
        <w:rPr>
          <w:sz w:val="24"/>
        </w:rPr>
      </w:pPr>
      <w:r>
        <w:rPr>
          <w:sz w:val="24"/>
        </w:rPr>
        <w:t>When subsidiaries perform a role of subcontractor;</w:t>
      </w:r>
    </w:p>
    <w:p w:rsidR="00EC74B3" w:rsidRDefault="00EC74B3" w:rsidP="005077F7">
      <w:pPr>
        <w:pStyle w:val="List2"/>
        <w:numPr>
          <w:ilvl w:val="0"/>
          <w:numId w:val="42"/>
        </w:numPr>
        <w:spacing w:line="360" w:lineRule="auto"/>
        <w:jc w:val="both"/>
        <w:rPr>
          <w:sz w:val="24"/>
        </w:rPr>
      </w:pPr>
      <w:r>
        <w:rPr>
          <w:sz w:val="24"/>
        </w:rPr>
        <w:t>When contract is for a specialised product tailored to suit the individual customer alone and the costs of production are heavily unpredictable, for example some government contract for the supply of military equipment, some turnkey factory projects etc.</w:t>
      </w:r>
    </w:p>
    <w:p w:rsidR="00EC74B3" w:rsidRDefault="00EC74B3">
      <w:pPr>
        <w:pStyle w:val="BodyText2"/>
        <w:spacing w:line="360" w:lineRule="auto"/>
        <w:ind w:firstLine="360"/>
        <w:jc w:val="both"/>
        <w:rPr>
          <w:rFonts w:ascii="Times New Roman" w:hAnsi="Times New Roman" w:cs="Times New Roman"/>
          <w:b w:val="0"/>
          <w:bCs w:val="0"/>
          <w:lang w:val="en-GB"/>
        </w:rPr>
      </w:pPr>
      <w:r>
        <w:rPr>
          <w:rFonts w:ascii="Times New Roman" w:hAnsi="Times New Roman" w:cs="Times New Roman"/>
          <w:b w:val="0"/>
          <w:bCs w:val="0"/>
          <w:lang w:val="en-GB"/>
        </w:rPr>
        <w:t xml:space="preserve">The costs for the purpose of this method are direct and indirect costs of production of the relevant goods and services. The cost of trading stock for this method is required to be calculated having regard to the tax laws of the concerned country. The allocation of indirect costs should be on the basis of the extent of the activity subject to the examination relative to the other purposes for which the costs are incurred. This should make sense in the context of the particular case and should not produce significant distortions. Any formula to allocate indirect costs must be consistently followed and there should not be any manipulation that produces any inappropriate loading of the expenses. If different types of indirect costs are being allocated, it may be appropriate to use different allocation criteria. </w:t>
      </w:r>
    </w:p>
    <w:p w:rsidR="00EC74B3" w:rsidRDefault="00EC74B3">
      <w:pPr>
        <w:pStyle w:val="BodyText2"/>
        <w:spacing w:line="360" w:lineRule="auto"/>
        <w:ind w:firstLine="360"/>
        <w:jc w:val="both"/>
        <w:rPr>
          <w:rFonts w:ascii="Times New Roman" w:hAnsi="Times New Roman" w:cs="Times New Roman"/>
          <w:lang w:val="en-GB"/>
        </w:rPr>
      </w:pPr>
      <w:r>
        <w:rPr>
          <w:rFonts w:ascii="Times New Roman" w:hAnsi="Times New Roman" w:cs="Times New Roman"/>
          <w:b w:val="0"/>
          <w:bCs w:val="0"/>
          <w:lang w:val="en-GB"/>
        </w:rPr>
        <w:t xml:space="preserve">The appropriate cost plus mark-up is normally the gross profit of the transaction, which covers the general, administrative and selling expenses and allows an </w:t>
      </w:r>
      <w:r>
        <w:rPr>
          <w:rFonts w:ascii="Times New Roman" w:hAnsi="Times New Roman" w:cs="Times New Roman"/>
          <w:b w:val="0"/>
          <w:bCs w:val="0"/>
          <w:lang w:val="en-GB"/>
        </w:rPr>
        <w:lastRenderedPageBreak/>
        <w:t>appropriate net profit. However, in some cases, it may be more accurate to consider some intermediate profit level in order to make comparisons on a consistent basis (e.g., to adjust for accounting differences between the taxpayer and the enterprise being considered as a comparable). If there are differences in accounting practices adopted by the taxpayer and the comparable enterprise then adjustments should be made to account for such differences.</w:t>
      </w:r>
    </w:p>
    <w:p w:rsidR="00EC74B3" w:rsidRDefault="00EC74B3">
      <w:pPr>
        <w:pStyle w:val="List"/>
        <w:spacing w:line="360" w:lineRule="auto"/>
        <w:ind w:left="0" w:firstLine="0"/>
        <w:jc w:val="both"/>
        <w:rPr>
          <w:sz w:val="24"/>
        </w:rPr>
      </w:pPr>
      <w:r>
        <w:rPr>
          <w:sz w:val="24"/>
        </w:rPr>
        <w:t xml:space="preserve">The difficulties in applying this method arise where </w:t>
      </w:r>
      <w:proofErr w:type="gramStart"/>
      <w:r>
        <w:rPr>
          <w:sz w:val="24"/>
        </w:rPr>
        <w:t>cost accounting concepts adopted by the associated enterprises</w:t>
      </w:r>
      <w:proofErr w:type="gramEnd"/>
      <w:r>
        <w:rPr>
          <w:sz w:val="24"/>
        </w:rPr>
        <w:t xml:space="preserve"> and comparable independent enterprises are not similar. </w:t>
      </w:r>
    </w:p>
    <w:p w:rsidR="00EC74B3" w:rsidRDefault="00EC74B3">
      <w:pPr>
        <w:pStyle w:val="Heading5"/>
        <w:spacing w:line="360" w:lineRule="auto"/>
        <w:jc w:val="both"/>
        <w:rPr>
          <w:sz w:val="24"/>
        </w:rPr>
      </w:pPr>
      <w:r>
        <w:rPr>
          <w:b/>
          <w:sz w:val="24"/>
        </w:rPr>
        <w:t>B.     Transactional Profit methods</w:t>
      </w:r>
    </w:p>
    <w:p w:rsidR="00EC74B3" w:rsidRDefault="00EC74B3">
      <w:pPr>
        <w:pStyle w:val="BodyText"/>
        <w:spacing w:line="360" w:lineRule="auto"/>
        <w:ind w:firstLine="360"/>
        <w:jc w:val="both"/>
        <w:rPr>
          <w:rFonts w:ascii="Times New Roman" w:hAnsi="Times New Roman" w:cs="Times New Roman"/>
          <w:sz w:val="24"/>
          <w:lang w:val="en-GB"/>
        </w:rPr>
      </w:pPr>
      <w:r>
        <w:rPr>
          <w:rFonts w:ascii="Times New Roman" w:hAnsi="Times New Roman" w:cs="Times New Roman"/>
          <w:sz w:val="24"/>
          <w:lang w:val="en-GB"/>
        </w:rPr>
        <w:t>Though traditional transaction methods are theoretically preferred methods for determining transfer prices of intra-firm transactions, but due to complexities involved in the relationships between the associated enterprises and in the product and services transacted, the application is not easy. Where there are constraints in applying the transaction based methods recourse is taken to the profit based methods, as these methods are less dependent on transactional similarities. However, while applying the profit based methods extra caution needs to be taken as too much simplicity may make the method unacceptable from the arm's length principle angle. The profit-based methods use either gross profits or net profits for the purpose of determining prices in the arm's length conditions. Accordingly, there are two profit-based methods:</w:t>
      </w:r>
    </w:p>
    <w:p w:rsidR="00EC74B3" w:rsidRDefault="00EC74B3" w:rsidP="005077F7">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profit split method; and</w:t>
      </w:r>
    </w:p>
    <w:p w:rsidR="00EC74B3" w:rsidRDefault="00EC74B3" w:rsidP="005077F7">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transactional net margin method (TNMM).</w:t>
      </w:r>
    </w:p>
    <w:p w:rsidR="00EC74B3" w:rsidRDefault="00EC74B3">
      <w:pPr>
        <w:pStyle w:val="BodyText"/>
        <w:spacing w:line="360" w:lineRule="auto"/>
        <w:ind w:firstLine="360"/>
        <w:jc w:val="both"/>
        <w:rPr>
          <w:rFonts w:ascii="Times New Roman" w:hAnsi="Times New Roman" w:cs="Times New Roman"/>
          <w:sz w:val="24"/>
          <w:lang w:val="en-GB"/>
        </w:rPr>
      </w:pPr>
      <w:r>
        <w:rPr>
          <w:rFonts w:ascii="Times New Roman" w:hAnsi="Times New Roman" w:cs="Times New Roman"/>
          <w:sz w:val="24"/>
          <w:lang w:val="en-GB"/>
        </w:rPr>
        <w:t>The basic difference between these two methods is that TNMM is one-sided, i.e. it is applied to only one of the associated enterprises while in profit-split method the profit distribution is applied to all the relevant associated enterprises.</w:t>
      </w:r>
    </w:p>
    <w:p w:rsidR="00EC74B3" w:rsidRDefault="00EC74B3">
      <w:pPr>
        <w:pStyle w:val="Heading6"/>
        <w:spacing w:line="360" w:lineRule="auto"/>
        <w:jc w:val="both"/>
        <w:rPr>
          <w:b/>
          <w:i w:val="0"/>
          <w:sz w:val="24"/>
        </w:rPr>
      </w:pPr>
      <w:r>
        <w:rPr>
          <w:i w:val="0"/>
          <w:sz w:val="24"/>
        </w:rPr>
        <w:t>(I)</w:t>
      </w:r>
      <w:r>
        <w:rPr>
          <w:b/>
          <w:i w:val="0"/>
          <w:sz w:val="24"/>
        </w:rPr>
        <w:tab/>
        <w:t>Profit split method</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In the profit split method the arm’s length price is ascertained through a division of the consolidated profits of the associated enterprises of an MNE system. In this method the combined profit accruing to the associated enterprises involved in a controlled transaction (s) is determined, </w:t>
      </w:r>
      <w:proofErr w:type="gramStart"/>
      <w:r>
        <w:rPr>
          <w:rFonts w:ascii="Times New Roman" w:hAnsi="Times New Roman" w:cs="Times New Roman"/>
          <w:sz w:val="24"/>
          <w:lang w:val="en-GB"/>
        </w:rPr>
        <w:t>then</w:t>
      </w:r>
      <w:proofErr w:type="gramEnd"/>
      <w:r>
        <w:rPr>
          <w:rFonts w:ascii="Times New Roman" w:hAnsi="Times New Roman" w:cs="Times New Roman"/>
          <w:sz w:val="24"/>
          <w:lang w:val="en-GB"/>
        </w:rPr>
        <w:t xml:space="preserve"> the profit is split among the enterprises according to an economically valid basis. This splitting of the profits should </w:t>
      </w:r>
      <w:r>
        <w:rPr>
          <w:rFonts w:ascii="Times New Roman" w:hAnsi="Times New Roman" w:cs="Times New Roman"/>
          <w:sz w:val="24"/>
          <w:lang w:val="en-GB"/>
        </w:rPr>
        <w:lastRenderedPageBreak/>
        <w:t xml:space="preserve">approximate the division of profits that would have been anticipated and reflected in an agreement made at arm's length between independent enterprises. </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There are several ways in which the profit is divided. The most commonly used methods are contribution analysis and residual analysis. In the contribution analysis the combined profits from controlled transactions are divided between the associated enterprises based upon the relative value of the functions performed (taking into account assets used and risks assumed) by each of the associated enterprises participating in the transactions. The division is supplemented as much as possible by external market data that indicate how independent enterprises would have divided profits in similar circumstances. This approach ensures that both income and expenses are attributed to the associated enterprises involved in the transaction on a consistent basis. However, it can be difficult to determine the relative value of the contribution that each of the related participants makes to the controlled transaction. This difficulty can be avoided by comparing the nature and degree of each party’s contribution of differing types (for example, provision of services, development expenses incurred, capital invested) and assigning a percentage based upon the relative comparison and external data. </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Under the residual analysis, the combined profit from the relevant business activity is allocated between the controlled taxpayers in two steps. The first step consists of allocation of sufficient profits that would provide basic return to independent enterprises in similar circumstances. At this stage, contribution of any unique and valuable asset used by the participants to the transaction is not considered. Consequently, some profits remain undistributed, which is called residual profit. In the second step this residual profit is divided among the controlled taxpayers based upon the relative value of their contributions of unique and valuable assets.</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Apart from the above two approaches for splitting the profits, the following methods are at time used:</w:t>
      </w:r>
    </w:p>
    <w:p w:rsidR="00EC74B3" w:rsidRDefault="00EC74B3" w:rsidP="005077F7">
      <w:pPr>
        <w:pStyle w:val="BodyText"/>
        <w:numPr>
          <w:ilvl w:val="0"/>
          <w:numId w:val="39"/>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combined profit is split in such a way that each of the associated enterprises participating in the controlled transactions earns the same rate of return on the capital it employs in that transaction.</w:t>
      </w:r>
    </w:p>
    <w:p w:rsidR="00EC74B3" w:rsidRDefault="00EC74B3" w:rsidP="005077F7">
      <w:pPr>
        <w:pStyle w:val="BodyText"/>
        <w:numPr>
          <w:ilvl w:val="0"/>
          <w:numId w:val="39"/>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splitting of the profits is done in such a manner that it corresponds to the profits arising to independent enterprises in similar transaction.</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Whatever be the method for allocating the profits it has to be ensured that it should be flexible enough to recognise the differing contributions by parties over economic and product life cycles.</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t>The greatest strength of this method is that it does not rely directly on closely comparable transactions.  However, it suffers from problems related to collection of required data for splitting the profit.  Further, it may be difficult to measure combined revenue and costs for all the associated enterprises participating in the controlled transactions. This would require maintaining books and records on a common basis and making adjustments in accounting practices and currencies.</w:t>
      </w:r>
    </w:p>
    <w:p w:rsidR="00EC74B3" w:rsidRDefault="00EC74B3">
      <w:pPr>
        <w:pStyle w:val="BodyText"/>
        <w:spacing w:line="360" w:lineRule="auto"/>
        <w:jc w:val="both"/>
        <w:rPr>
          <w:rFonts w:ascii="Times New Roman" w:hAnsi="Times New Roman" w:cs="Times New Roman"/>
          <w:b/>
          <w:sz w:val="24"/>
          <w:lang w:val="en-GB"/>
        </w:rPr>
      </w:pPr>
      <w:r>
        <w:rPr>
          <w:rFonts w:ascii="Times New Roman" w:hAnsi="Times New Roman" w:cs="Times New Roman"/>
          <w:sz w:val="24"/>
          <w:lang w:val="en-GB"/>
        </w:rPr>
        <w:t>(II)</w:t>
      </w:r>
      <w:r>
        <w:rPr>
          <w:rFonts w:ascii="Times New Roman" w:hAnsi="Times New Roman" w:cs="Times New Roman"/>
          <w:b/>
          <w:sz w:val="24"/>
          <w:lang w:val="en-GB"/>
        </w:rPr>
        <w:tab/>
        <w:t>Transactional net margin method (TNMM)</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The transactional net margin method is a transfer pricing methodology where net profit margin of a taxpayer is the object of comparison. The comparison of the net profit margin can be on a single transaction or in relation to some aggregation of dealings between associated enterprises. Since the net profit margin is calculated with respect to some appropriate base, like costs, sales, assets etc., TNMM operates similar to the cost plus and resale price methods. TNMM is used where the data available is inadequate or unreliable to apply traditional transaction methods. </w:t>
      </w:r>
    </w:p>
    <w:p w:rsidR="00EC74B3" w:rsidRDefault="00EC74B3">
      <w:pPr>
        <w:pStyle w:val="BodyText"/>
        <w:spacing w:line="360" w:lineRule="auto"/>
        <w:ind w:firstLine="576"/>
        <w:jc w:val="both"/>
        <w:rPr>
          <w:rFonts w:ascii="Times New Roman" w:hAnsi="Times New Roman" w:cs="Times New Roman"/>
          <w:sz w:val="24"/>
          <w:lang w:val="en-GB"/>
        </w:rPr>
      </w:pPr>
      <w:r>
        <w:rPr>
          <w:rFonts w:ascii="Times New Roman" w:hAnsi="Times New Roman" w:cs="Times New Roman"/>
          <w:sz w:val="24"/>
          <w:lang w:val="en-GB"/>
        </w:rPr>
        <w:t>Depending upon the base used for determining the net profit margin there are a number of measurements in the form of profitability ratios that could work as the object of comparison in this method. While selecting the appropriate ratio certain aspects need to be kept in mind. The most important requirement is to ensure that data necessary for evaluating a particular ratio should be reliable and sufficient both for the taxpayer and the comparable. Also, the selection would depend upon the business in question. It would often be appropriate to have regard to more than one ratio in any measurement of profitability. Some of the ratios that are useful for TNMM are:</w:t>
      </w:r>
    </w:p>
    <w:p w:rsidR="00EC74B3" w:rsidRDefault="00EC74B3" w:rsidP="005077F7">
      <w:pPr>
        <w:pStyle w:val="BodyText"/>
        <w:numPr>
          <w:ilvl w:val="0"/>
          <w:numId w:val="40"/>
        </w:numPr>
        <w:spacing w:line="360" w:lineRule="auto"/>
        <w:jc w:val="both"/>
        <w:rPr>
          <w:rFonts w:ascii="Times New Roman" w:hAnsi="Times New Roman" w:cs="Times New Roman"/>
          <w:sz w:val="24"/>
          <w:lang w:val="en-GB"/>
        </w:rPr>
      </w:pPr>
      <w:r>
        <w:rPr>
          <w:rFonts w:ascii="Times New Roman" w:hAnsi="Times New Roman" w:cs="Times New Roman"/>
          <w:sz w:val="24"/>
          <w:lang w:val="en-GB"/>
        </w:rPr>
        <w:t>NPBT (net profit before tax) to sales - this provides a bottom line analysis, and also includes management efficiencies that may need to be taken into account.</w:t>
      </w:r>
    </w:p>
    <w:p w:rsidR="00EC74B3" w:rsidRDefault="00EC74B3" w:rsidP="005077F7">
      <w:pPr>
        <w:pStyle w:val="BodyText"/>
        <w:numPr>
          <w:ilvl w:val="0"/>
          <w:numId w:val="40"/>
        </w:numPr>
        <w:spacing w:line="360" w:lineRule="auto"/>
        <w:jc w:val="both"/>
        <w:rPr>
          <w:rFonts w:ascii="Times New Roman" w:hAnsi="Times New Roman" w:cs="Times New Roman"/>
          <w:sz w:val="24"/>
          <w:lang w:val="en-GB"/>
        </w:rPr>
      </w:pPr>
      <w:r>
        <w:rPr>
          <w:rFonts w:ascii="Times New Roman" w:hAnsi="Times New Roman" w:cs="Times New Roman"/>
          <w:sz w:val="24"/>
          <w:lang w:val="en-GB"/>
        </w:rPr>
        <w:t>EBIT (earning before interest and tax) to sales - by using this profits can be compared without the direct effect of whether the business is funded by debt or equity, though the increased risk due to significant debt funding would have to be taken into account.</w:t>
      </w:r>
    </w:p>
    <w:p w:rsidR="00EC74B3" w:rsidRDefault="00EC74B3" w:rsidP="005077F7">
      <w:pPr>
        <w:pStyle w:val="BodyText"/>
        <w:numPr>
          <w:ilvl w:val="0"/>
          <w:numId w:val="40"/>
        </w:numPr>
        <w:spacing w:line="360" w:lineRule="auto"/>
        <w:jc w:val="both"/>
        <w:rPr>
          <w:rFonts w:ascii="Times New Roman" w:hAnsi="Times New Roman" w:cs="Times New Roman"/>
          <w:sz w:val="24"/>
          <w:lang w:val="en-GB"/>
        </w:rPr>
      </w:pPr>
      <w:r>
        <w:rPr>
          <w:rFonts w:ascii="Times New Roman" w:hAnsi="Times New Roman" w:cs="Times New Roman"/>
          <w:sz w:val="24"/>
          <w:lang w:val="en-GB"/>
        </w:rPr>
        <w:t>Ratio of gross profits to operating expenses, also called Berry ratio, provides a quick test as to the profitability of the business as a ratio of '1:1' is the break-even point.</w:t>
      </w:r>
    </w:p>
    <w:p w:rsidR="00EC74B3" w:rsidRDefault="00EC74B3" w:rsidP="005077F7">
      <w:pPr>
        <w:pStyle w:val="BodyText"/>
        <w:numPr>
          <w:ilvl w:val="0"/>
          <w:numId w:val="40"/>
        </w:numPr>
        <w:spacing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Ratio of NPBT to shareholders' fund - indicates the return to shareholders on the subscribed capital and retained earnings.</w:t>
      </w:r>
    </w:p>
    <w:p w:rsidR="00EC74B3" w:rsidRDefault="00EC74B3" w:rsidP="005077F7">
      <w:pPr>
        <w:pStyle w:val="BodyText"/>
        <w:numPr>
          <w:ilvl w:val="0"/>
          <w:numId w:val="40"/>
        </w:numPr>
        <w:spacing w:line="360" w:lineRule="auto"/>
        <w:jc w:val="both"/>
        <w:rPr>
          <w:rFonts w:ascii="Times New Roman" w:hAnsi="Times New Roman" w:cs="Times New Roman"/>
          <w:sz w:val="24"/>
          <w:lang w:val="en-GB"/>
        </w:rPr>
      </w:pPr>
      <w:r>
        <w:rPr>
          <w:rFonts w:ascii="Times New Roman" w:hAnsi="Times New Roman" w:cs="Times New Roman"/>
          <w:sz w:val="24"/>
          <w:lang w:val="en-GB"/>
        </w:rPr>
        <w:t>Ratio of EBIT to assets - indicates the return on assets of the enterprise.</w:t>
      </w:r>
    </w:p>
    <w:p w:rsidR="00EC74B3" w:rsidRDefault="00EC74B3" w:rsidP="005077F7">
      <w:pPr>
        <w:pStyle w:val="BodyText"/>
        <w:numPr>
          <w:ilvl w:val="0"/>
          <w:numId w:val="40"/>
        </w:numPr>
        <w:spacing w:line="360" w:lineRule="auto"/>
        <w:jc w:val="both"/>
        <w:rPr>
          <w:rFonts w:ascii="Times New Roman" w:hAnsi="Times New Roman" w:cs="Times New Roman"/>
          <w:sz w:val="24"/>
          <w:lang w:val="en-GB"/>
        </w:rPr>
      </w:pPr>
      <w:r>
        <w:rPr>
          <w:rFonts w:ascii="Times New Roman" w:hAnsi="Times New Roman" w:cs="Times New Roman"/>
          <w:sz w:val="24"/>
          <w:lang w:val="en-GB"/>
        </w:rPr>
        <w:t>Ratio of NPBT or sales to number of employees.</w:t>
      </w:r>
    </w:p>
    <w:p w:rsidR="00EC74B3" w:rsidRDefault="00EC74B3">
      <w:pPr>
        <w:pStyle w:val="ListBullet"/>
      </w:pPr>
      <w:r>
        <w:t xml:space="preserve">The greatest strength of the transactional net margin method is that net margins are more tolerant to some functional transactions than gross margins. It is also less affected by the factors that affect price or gross profit margin. Further, since net margin is not affected by differences in functions, it is not necessary to analyse the functions performed and responsibilities assumed by the associated enterprises involved in the transaction. Consequently, it is not necessary that all associated enterprises should maintain accounts and allocate costs in identical manner.  The difficulties that may arise in applying TNMM consists unavailability of required data in respect of comparable uncontrolled transaction. At times, it may not be easy to work out suitable ratios.  </w:t>
      </w:r>
    </w:p>
    <w:p w:rsidR="00EC74B3" w:rsidRDefault="00EC74B3">
      <w:pPr>
        <w:pStyle w:val="ListBullet"/>
      </w:pPr>
    </w:p>
    <w:p w:rsidR="00EC74B3" w:rsidRDefault="00EC74B3">
      <w:pPr>
        <w:pStyle w:val="ListBullet"/>
      </w:pPr>
      <w:r>
        <w:t>Treatment of Intangibles</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Intangibles can be placed into two classes - trade intangibles and market intangibles. </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The trade intangibles are typically patents and unpatented technical know-how. These are created through risks and costly R &amp; D and are basically related with the production of goods or services. These are transacted through product sales, service contracts, or license agreements. </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In an MNE system, normally there are three types of arrangements for the development of the trade intangibles. In the first situation, one of the enterprises of the system performs research activities and retains the legal and economical ownership. Secondly, an enterprise of the system may carry on the research activities on behalf of one or more member of the group under an arrangement of contract research. In this case the beneficiary or beneficiaries have the legal and economic ownership of the intangible. In the third type of situation an enterprise may carry on the research activities on behalf of itself and one or more members of the group under an arrangement in which the members involved are engaged in joint activity and have common ownership of the intangible. Apart from these there may be other more complicated arrangements. </w:t>
      </w:r>
    </w:p>
    <w:p w:rsidR="00EC74B3" w:rsidRDefault="00EC74B3">
      <w:pPr>
        <w:pStyle w:val="BodyText"/>
        <w:spacing w:line="360" w:lineRule="auto"/>
        <w:ind w:firstLine="360"/>
        <w:jc w:val="both"/>
        <w:rPr>
          <w:rFonts w:ascii="Times New Roman" w:hAnsi="Times New Roman" w:cs="Times New Roman"/>
          <w:sz w:val="24"/>
          <w:lang w:val="en-GB"/>
        </w:rPr>
      </w:pPr>
      <w:r>
        <w:rPr>
          <w:rFonts w:ascii="Times New Roman" w:hAnsi="Times New Roman" w:cs="Times New Roman"/>
          <w:sz w:val="24"/>
          <w:lang w:val="en-GB"/>
        </w:rPr>
        <w:lastRenderedPageBreak/>
        <w:t xml:space="preserve">Marketing intangibles, which include trademarks and trade names, aid in the commercial exploitation of a product or service. These consist of unique names, symbols, or pictures that have an important promotional value for the product concerned. The value of marketing intangibles depends upon many factors, including the following: - </w:t>
      </w:r>
    </w:p>
    <w:p w:rsidR="00EC74B3" w:rsidRDefault="00EC74B3" w:rsidP="005077F7">
      <w:pPr>
        <w:pStyle w:val="BodyText"/>
        <w:numPr>
          <w:ilvl w:val="0"/>
          <w:numId w:val="41"/>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quality of the goods and services provided under the trade name or the trademark in the past;</w:t>
      </w:r>
    </w:p>
    <w:p w:rsidR="00EC74B3" w:rsidRDefault="00EC74B3" w:rsidP="005077F7">
      <w:pPr>
        <w:pStyle w:val="BodyText"/>
        <w:numPr>
          <w:ilvl w:val="0"/>
          <w:numId w:val="41"/>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degree of the quality control and ongoing R&amp;D;</w:t>
      </w:r>
    </w:p>
    <w:p w:rsidR="00EC74B3" w:rsidRDefault="00EC74B3" w:rsidP="005077F7">
      <w:pPr>
        <w:pStyle w:val="BodyText"/>
        <w:numPr>
          <w:ilvl w:val="0"/>
          <w:numId w:val="41"/>
        </w:numPr>
        <w:spacing w:line="360" w:lineRule="auto"/>
        <w:jc w:val="both"/>
        <w:rPr>
          <w:rFonts w:ascii="Times New Roman" w:hAnsi="Times New Roman" w:cs="Times New Roman"/>
          <w:sz w:val="24"/>
          <w:lang w:val="en-GB"/>
        </w:rPr>
      </w:pPr>
      <w:r>
        <w:rPr>
          <w:rFonts w:ascii="Times New Roman" w:hAnsi="Times New Roman" w:cs="Times New Roman"/>
          <w:sz w:val="24"/>
          <w:lang w:val="en-GB"/>
        </w:rPr>
        <w:t>distribution and availability of the goods or services being marketed;</w:t>
      </w:r>
    </w:p>
    <w:p w:rsidR="00EC74B3" w:rsidRDefault="00EC74B3" w:rsidP="005077F7">
      <w:pPr>
        <w:pStyle w:val="BodyText"/>
        <w:numPr>
          <w:ilvl w:val="0"/>
          <w:numId w:val="41"/>
        </w:numPr>
        <w:spacing w:line="360" w:lineRule="auto"/>
        <w:jc w:val="both"/>
        <w:rPr>
          <w:rFonts w:ascii="Times New Roman" w:hAnsi="Times New Roman" w:cs="Times New Roman"/>
          <w:sz w:val="24"/>
          <w:lang w:val="en-GB"/>
        </w:rPr>
      </w:pPr>
      <w:r>
        <w:rPr>
          <w:rFonts w:ascii="Times New Roman" w:hAnsi="Times New Roman" w:cs="Times New Roman"/>
          <w:sz w:val="24"/>
          <w:lang w:val="en-GB"/>
        </w:rPr>
        <w:t>the extent and success of the promotional expenditures;</w:t>
      </w:r>
    </w:p>
    <w:p w:rsidR="00EC74B3" w:rsidRDefault="00EC74B3" w:rsidP="005077F7">
      <w:pPr>
        <w:pStyle w:val="BodyText"/>
        <w:numPr>
          <w:ilvl w:val="0"/>
          <w:numId w:val="41"/>
        </w:numPr>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the value of the market to which the marketing intangibles will provide access; and </w:t>
      </w:r>
    </w:p>
    <w:p w:rsidR="00EC74B3" w:rsidRDefault="00EC74B3" w:rsidP="005077F7">
      <w:pPr>
        <w:pStyle w:val="BodyText"/>
        <w:numPr>
          <w:ilvl w:val="0"/>
          <w:numId w:val="41"/>
        </w:numPr>
        <w:spacing w:line="360" w:lineRule="auto"/>
        <w:jc w:val="both"/>
        <w:rPr>
          <w:rFonts w:ascii="Times New Roman" w:hAnsi="Times New Roman" w:cs="Times New Roman"/>
          <w:sz w:val="24"/>
          <w:lang w:val="en-GB"/>
        </w:rPr>
      </w:pPr>
      <w:proofErr w:type="gramStart"/>
      <w:r>
        <w:rPr>
          <w:rFonts w:ascii="Times New Roman" w:hAnsi="Times New Roman" w:cs="Times New Roman"/>
          <w:sz w:val="24"/>
          <w:lang w:val="en-GB"/>
        </w:rPr>
        <w:t>the</w:t>
      </w:r>
      <w:proofErr w:type="gramEnd"/>
      <w:r>
        <w:rPr>
          <w:rFonts w:ascii="Times New Roman" w:hAnsi="Times New Roman" w:cs="Times New Roman"/>
          <w:sz w:val="24"/>
          <w:lang w:val="en-GB"/>
        </w:rPr>
        <w:t xml:space="preserve"> nature of the right created in the intangible under the law.</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t>Know-</w:t>
      </w:r>
      <w:proofErr w:type="gramStart"/>
      <w:r>
        <w:rPr>
          <w:rFonts w:ascii="Times New Roman" w:hAnsi="Times New Roman" w:cs="Times New Roman"/>
          <w:sz w:val="24"/>
          <w:lang w:val="en-GB"/>
        </w:rPr>
        <w:t>how,</w:t>
      </w:r>
      <w:proofErr w:type="gramEnd"/>
      <w:r>
        <w:rPr>
          <w:rFonts w:ascii="Times New Roman" w:hAnsi="Times New Roman" w:cs="Times New Roman"/>
          <w:sz w:val="24"/>
          <w:lang w:val="en-GB"/>
        </w:rPr>
        <w:t xml:space="preserve"> may include secret processes or formulae or other secret information concerning industrial, commercial or scientific experience that is not covered by patent. Any disclosure of know-how or trade secret could substantially reduce the value of the property.  These can be trade or marketing intangibles depending upon the relevant facts.</w:t>
      </w:r>
    </w:p>
    <w:p w:rsidR="00EC74B3" w:rsidRDefault="00EC74B3">
      <w:pPr>
        <w:pStyle w:val="Heading9"/>
        <w:spacing w:line="360" w:lineRule="auto"/>
        <w:jc w:val="both"/>
        <w:rPr>
          <w:rFonts w:ascii="Times New Roman" w:hAnsi="Times New Roman"/>
          <w:i w:val="0"/>
          <w:sz w:val="24"/>
        </w:rPr>
      </w:pPr>
      <w:r>
        <w:rPr>
          <w:rFonts w:ascii="Times New Roman" w:hAnsi="Times New Roman"/>
          <w:i w:val="0"/>
          <w:sz w:val="24"/>
        </w:rPr>
        <w:t>Application of arm’s length to intangibles</w:t>
      </w:r>
    </w:p>
    <w:p w:rsidR="00EC74B3" w:rsidRDefault="00EC74B3">
      <w:pPr>
        <w:pStyle w:val="BodyText"/>
        <w:spacing w:line="36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Due to ambiguity in defining intangibles and difficulty in assigning a value for the purpose of taxation it has been difficult to bring them to taxation. The difficulty gets compounded when intangibles are traded between associated enterprises. The relationship between the associated enterprises imparts special characteristics to intangibles. </w:t>
      </w:r>
    </w:p>
    <w:p w:rsidR="00EC74B3" w:rsidRDefault="00EC74B3">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In case of intangibles, for the purpose of comparability the perspectives of both the transferor and the transferee should be taken into account. So far as the transferor is concerned the reference price would be that which a comparable independent enterprise would be willing to transfer the right concerned. On the other hand, the transferee would examine the value and usefulness of the intangible property to its business. The transferee will generally be prepared to pay the license fee if the benefit it reasonably expects to secure from the use of the intangible is satisfactory having regard to other options realistically available. This is necessary because the licensee will have to undertake investments or otherwise incur expenditure to use the license. </w:t>
      </w:r>
      <w:r>
        <w:rPr>
          <w:rFonts w:ascii="Times New Roman" w:hAnsi="Times New Roman" w:cs="Times New Roman"/>
          <w:sz w:val="24"/>
          <w:lang w:val="en-GB"/>
        </w:rPr>
        <w:lastRenderedPageBreak/>
        <w:t xml:space="preserve">Thus, the usefulness of property is an important criterion while determining comparability of intangible properties. </w:t>
      </w:r>
    </w:p>
    <w:p w:rsidR="00EC74B3" w:rsidRDefault="00EC74B3">
      <w:pPr>
        <w:pStyle w:val="ListBullet2"/>
        <w:tabs>
          <w:tab w:val="clear" w:pos="720"/>
        </w:tabs>
        <w:ind w:left="0" w:firstLine="360"/>
      </w:pPr>
      <w:r>
        <w:t>In cases of sale or licence of intangible property, either along with sale of goods or independent of that, the CUP or resale price method can be applied in the manner similar to that in case of goods. However, these methods may not be useful when highly valuable intangible properties are involved. In such cases profit based methods would be more useful.</w:t>
      </w:r>
    </w:p>
    <w:p w:rsidR="00EC74B3" w:rsidRDefault="00EC74B3">
      <w:pPr>
        <w:tabs>
          <w:tab w:val="left" w:pos="8460"/>
        </w:tabs>
        <w:spacing w:line="360" w:lineRule="auto"/>
        <w:rPr>
          <w:b/>
        </w:rPr>
      </w:pPr>
    </w:p>
    <w:p w:rsidR="00EC74B3" w:rsidRDefault="00EC74B3">
      <w:pPr>
        <w:tabs>
          <w:tab w:val="left" w:pos="8460"/>
        </w:tabs>
        <w:spacing w:line="360" w:lineRule="auto"/>
        <w:rPr>
          <w:b/>
        </w:rPr>
      </w:pPr>
      <w:r>
        <w:rPr>
          <w:b/>
        </w:rPr>
        <w:t>INTRA - GROUP SERVICES</w:t>
      </w:r>
    </w:p>
    <w:p w:rsidR="00EC74B3" w:rsidRDefault="00EC74B3">
      <w:pPr>
        <w:spacing w:line="360" w:lineRule="auto"/>
        <w:ind w:firstLine="720"/>
        <w:jc w:val="both"/>
      </w:pPr>
      <w:r>
        <w:t xml:space="preserve">Transactions of services between associated enterprises are important from transfer pricing angle. These services are of varied nature - administrative, technical, financial and commercial. Some of these services are provided on a continuous </w:t>
      </w:r>
      <w:proofErr w:type="gramStart"/>
      <w:r>
        <w:t>basis  (</w:t>
      </w:r>
      <w:proofErr w:type="gramEnd"/>
      <w:r>
        <w:t xml:space="preserve">for example, technical assistance); while other are for specific occasions, for example, troubleshooting services. Some of the services are available in open market, while other (such as central auditing or foreign financing advice, or training of personnel) may not be so. The cost for providing such services may be borne initially by the parent, or by a specially designated group member (“a group service provider”), or another group member.  However, whether a service can be consider as intra-group service would depend upon the actual facts and circumstances, and it is not possible to establish any general criteria to identify such a service. </w:t>
      </w:r>
    </w:p>
    <w:p w:rsidR="00EC74B3" w:rsidRDefault="00EC74B3">
      <w:pPr>
        <w:spacing w:line="360" w:lineRule="auto"/>
        <w:ind w:firstLine="720"/>
        <w:jc w:val="both"/>
        <w:rPr>
          <w:b/>
          <w:bCs/>
        </w:rPr>
      </w:pPr>
      <w:r>
        <w:t xml:space="preserve">For the purpose of determining price of such a service in accordance with the arm’s length principle the first thing that should be ascertained is whether it has economic or commercial value. </w:t>
      </w:r>
      <w:proofErr w:type="gramStart"/>
      <w:r>
        <w:t>In other words, whether it enhances the commercial value of the member (s) of the group.</w:t>
      </w:r>
      <w:proofErr w:type="gramEnd"/>
      <w:r>
        <w:t xml:space="preserve"> One way is to ascertain whether an independent enterprise in comparable circumstances would you have been willing to pay for the activity if performed for it by an independent enterprise. If the activity is not one for which the independent enterprise would you have been willing to pay, the activity ordinarily should not be considered as an intra-group service under the arm’s length principle. An associated enterprise should not be considered to receive an intra-group service when it obtains incidental benefits attributable solely to its being part of a larger concern, and not to any specific activity being performed. For example, no services would be received where an associated enterprise by reason of its affiliation alone has a credit-rating higher than it would be if it were unaffiliated. However, an intra-group service would generally exist where the higher credit-rating were due to a </w:t>
      </w:r>
      <w:r>
        <w:lastRenderedPageBreak/>
        <w:t>guarantee by another group member, or where the enterprise benefited from the group’s reputation deriving from the global marketing and public relations campaigns. In other words, passive association should be distinguished from active promotion of the MNEs group attributes that positively enhances the profit-making potential of a particular member of the group. Each case must be determined according to its own facts and circumstances.</w:t>
      </w:r>
    </w:p>
    <w:p w:rsidR="00EC74B3" w:rsidRDefault="00EC74B3">
      <w:pPr>
        <w:spacing w:line="360" w:lineRule="auto"/>
        <w:ind w:firstLine="720"/>
        <w:jc w:val="both"/>
      </w:pPr>
      <w:r>
        <w:t>While examining intra-group services from taxation angle it needs to be determined whether 'expenses incurred by one entity should be apportioned and allocated to other members of the group or whether a charge should be levied by the service provider that reflects the value of services supplied.</w:t>
      </w:r>
    </w:p>
    <w:p w:rsidR="00EC74B3" w:rsidRDefault="00EC74B3">
      <w:pPr>
        <w:spacing w:line="360" w:lineRule="auto"/>
        <w:ind w:firstLine="720"/>
        <w:jc w:val="both"/>
      </w:pPr>
      <w:r>
        <w:t xml:space="preserve">The relevant considerations for calculating the arm’s length price in relation to intra-group services include the value of the service to the recipient and how much a comparable independent enterprise would be prepared to pay for </w:t>
      </w:r>
      <w:proofErr w:type="gramStart"/>
      <w:r>
        <w:t>that services</w:t>
      </w:r>
      <w:proofErr w:type="gramEnd"/>
      <w:r>
        <w:t xml:space="preserve"> in comparable circumstances, as well as the costs to the service provider.</w:t>
      </w:r>
    </w:p>
    <w:p w:rsidR="00EC74B3" w:rsidRDefault="00EC74B3">
      <w:pPr>
        <w:spacing w:line="360" w:lineRule="auto"/>
        <w:ind w:firstLine="720"/>
        <w:jc w:val="both"/>
      </w:pPr>
      <w:r>
        <w:t>For the purpose of determining the arm’s length price the methods discussed earlier can be applied. The CUP or cost plus methods are preferred for pricing intra-group services. A CUP method is likely to be used where there is a comparable service provided between independent enterprises in the recipient market, or by the associated enterprise providing the services to an independent enterprise in comparable circumstances. The cost plus method is often used in the cases of centralised service arrangements. In exceptional cases where it may be difficult to apply the CUP method or the cost plus method the transactional profit methods may have to be used as a last resort.</w:t>
      </w:r>
    </w:p>
    <w:p w:rsidR="00EC74B3" w:rsidRDefault="00EC74B3">
      <w:pPr>
        <w:pStyle w:val="Heading4"/>
        <w:rPr>
          <w:u w:val="none"/>
        </w:rPr>
      </w:pPr>
      <w:r>
        <w:rPr>
          <w:u w:val="none"/>
        </w:rPr>
        <w:t>Cost Contribution Arrangements (CCA)</w:t>
      </w:r>
    </w:p>
    <w:p w:rsidR="00EC74B3" w:rsidRDefault="00EC74B3">
      <w:pPr>
        <w:spacing w:line="360" w:lineRule="auto"/>
        <w:ind w:firstLine="720"/>
        <w:jc w:val="both"/>
      </w:pPr>
      <w:r>
        <w:t xml:space="preserve">Cost contribution arrangement is a framework agreed to among business enterprises to share the costs and risks of developing, producing or obtaining assets, services, or rights, and to determine the nature and extent of the interests of each participant in those assets, services, or rights. In US it is known as cost sharing arrangement, and is defined as "as an agreement for sharing costs in proportion to reasonably anticipated benefits from the individual exploitation of interests in the intangibles that are developed". In such arrangements, the legal ownership of the developed asset is vested in one of the enterprises while all the enterprises have effective ownership interest. Thus, under the CCAs the participants are co-owners and they are not required to pay royalty or any other consideration to any party for their </w:t>
      </w:r>
      <w:r>
        <w:lastRenderedPageBreak/>
        <w:t>interest. An aspect important from transfer pricing angle is that the contribution to the cost by a participant should be in proportion to the benefits expected by that participant from the arrangement. The OECD Guidelines clarifies that "each participant's interest in the results of CCA activity should be established from the out-set, even where the interest is inter-linked with that of other participants. The legal ownership of the developed intangible property is vested in only one of them but all of them have effective ownership interest."</w:t>
      </w:r>
    </w:p>
    <w:p w:rsidR="00EC74B3" w:rsidRDefault="00EC74B3">
      <w:pPr>
        <w:spacing w:line="360" w:lineRule="auto"/>
        <w:ind w:firstLine="720"/>
        <w:jc w:val="both"/>
      </w:pPr>
      <w:r>
        <w:t>The arm's length principle can be applied to CCAs as is possible in cases of intra-group services and transfer of intangibles, as independent enterprises, at times, pool their resources and share risks for development of assets</w:t>
      </w:r>
      <w:proofErr w:type="gramStart"/>
      <w:r>
        <w:t>,  particularly</w:t>
      </w:r>
      <w:proofErr w:type="gramEnd"/>
      <w:r>
        <w:t xml:space="preserve"> where the cost involved in development of the asset is quite high for one enterprise to bear entire expenses, but the expected benefits are very high. While applying the arm’s length principle to CCAs, the expected benefits and contribution by each participant should be considered. </w:t>
      </w:r>
    </w:p>
    <w:p w:rsidR="00EC74B3" w:rsidRDefault="00EC74B3">
      <w:pPr>
        <w:spacing w:line="360" w:lineRule="auto"/>
        <w:jc w:val="both"/>
      </w:pPr>
      <w:r>
        <w:t xml:space="preserve">Another aspect that must not be lost sight of is that the contribution and expected benefits should have commercial value and should be capable of being determined according to accepted accounting principles. However, this may cause problem where the assets contributed by a participant is also used by </w:t>
      </w:r>
      <w:proofErr w:type="gramStart"/>
      <w:r>
        <w:t>its</w:t>
      </w:r>
      <w:proofErr w:type="gramEnd"/>
      <w:r>
        <w:t xml:space="preserve"> for its own business.</w:t>
      </w:r>
    </w:p>
    <w:p w:rsidR="00EC74B3" w:rsidRDefault="00EC74B3">
      <w:pPr>
        <w:spacing w:line="360" w:lineRule="auto"/>
        <w:rPr>
          <w:b/>
        </w:rPr>
      </w:pPr>
    </w:p>
    <w:p w:rsidR="00EC74B3" w:rsidRDefault="00EC74B3">
      <w:pPr>
        <w:spacing w:line="360" w:lineRule="auto"/>
      </w:pPr>
      <w:r>
        <w:rPr>
          <w:b/>
        </w:rPr>
        <w:t>A non-arm’s length approach: global formulary apportionment (GFA)</w:t>
      </w:r>
    </w:p>
    <w:p w:rsidR="00EC74B3" w:rsidRDefault="00EC74B3">
      <w:pPr>
        <w:spacing w:line="360" w:lineRule="auto"/>
        <w:ind w:firstLine="720"/>
        <w:jc w:val="both"/>
      </w:pPr>
      <w:r>
        <w:t xml:space="preserve">It is possible that the nature of and conditions accompanying a controlled transaction may be such that it may be difficult to find a comparable transaction, making it difficult to apply the arm's length principle. For such cases, apportionment methods, which do not involve search of comparable uncontrolled </w:t>
      </w:r>
      <w:proofErr w:type="gramStart"/>
      <w:r>
        <w:t>transaction</w:t>
      </w:r>
      <w:proofErr w:type="gramEnd"/>
      <w:r>
        <w:t xml:space="preserve"> have been suggested as alternative methods. These methods seek to allocate profits within a controlled group according to a predetermined formula. The basic difference between the arm's length methods and apportionment methods is that in the case of the former functional analysis is undertaken to assign risks born by different entities, whereas in case of the latter method risks are apportioned equally among all the entities. </w:t>
      </w:r>
    </w:p>
    <w:p w:rsidR="00EC74B3" w:rsidRDefault="00EC74B3">
      <w:pPr>
        <w:spacing w:line="360" w:lineRule="auto"/>
        <w:ind w:firstLine="720"/>
        <w:jc w:val="both"/>
      </w:pPr>
      <w:r>
        <w:t xml:space="preserve">The most extreme type of apportionment method is Global Formulary Apportionment (GFA), which starts from the premise that because of the economies of scale and benefits of integration achieved by an MNE group, the allocation of profits can only be considered on a consolidated basis. It ascertains the global profit of the unitary business and using a predetermined formula, usually based on some </w:t>
      </w:r>
      <w:r>
        <w:lastRenderedPageBreak/>
        <w:t xml:space="preserve">proportion of turnover, payroll and assets, allocate the global profits to the various entities. Normally, the same formula is applied regardless of the nature of the business concerned. There are three essential components to applying a GFA method: </w:t>
      </w:r>
    </w:p>
    <w:p w:rsidR="00EC74B3" w:rsidRDefault="00EC74B3" w:rsidP="005077F7">
      <w:pPr>
        <w:numPr>
          <w:ilvl w:val="0"/>
          <w:numId w:val="34"/>
        </w:numPr>
        <w:spacing w:line="360" w:lineRule="auto"/>
        <w:jc w:val="both"/>
      </w:pPr>
      <w:r>
        <w:t xml:space="preserve">determining the unit to be taxed, i.e. which of the subsidiaries and branches of an MNE group should comprise the global taxable entity; </w:t>
      </w:r>
    </w:p>
    <w:p w:rsidR="00EC74B3" w:rsidRDefault="00EC74B3" w:rsidP="005077F7">
      <w:pPr>
        <w:numPr>
          <w:ilvl w:val="0"/>
          <w:numId w:val="34"/>
        </w:numPr>
        <w:spacing w:line="360" w:lineRule="auto"/>
        <w:jc w:val="both"/>
      </w:pPr>
      <w:r>
        <w:t xml:space="preserve">accurately determining the global profits; and </w:t>
      </w:r>
    </w:p>
    <w:p w:rsidR="00EC74B3" w:rsidRDefault="00EC74B3" w:rsidP="005077F7">
      <w:pPr>
        <w:numPr>
          <w:ilvl w:val="0"/>
          <w:numId w:val="34"/>
        </w:numPr>
        <w:spacing w:line="360" w:lineRule="auto"/>
        <w:jc w:val="both"/>
      </w:pPr>
      <w:proofErr w:type="gramStart"/>
      <w:r>
        <w:t>establishing</w:t>
      </w:r>
      <w:proofErr w:type="gramEnd"/>
      <w:r>
        <w:t xml:space="preserve"> the formula to be used to allocate the global profits of the unit. The formula would most likely be based on some combination of costs, assets, payroll, and sales.</w:t>
      </w:r>
    </w:p>
    <w:p w:rsidR="00EC74B3" w:rsidRDefault="00EC74B3">
      <w:pPr>
        <w:spacing w:line="360" w:lineRule="auto"/>
        <w:ind w:firstLine="720"/>
        <w:jc w:val="both"/>
      </w:pPr>
      <w:r>
        <w:t>At times, GFA is confused with the transactional profit method. The former method would use a formula that is predetermined for all taxpayers to allocate profits whereas transactional profits methods compare, on case-by-case basis, the profits of one or more associated enterprises with the profit experience that comparable independent enterprises would have sought to achieve. In US the apportionment methodology is now an accepted and commonly used transfer pricing method under the US rules, particularly when intangible properties are involved.</w:t>
      </w:r>
    </w:p>
    <w:p w:rsidR="00EC74B3" w:rsidRDefault="00EC74B3">
      <w:pPr>
        <w:spacing w:line="360" w:lineRule="auto"/>
        <w:jc w:val="both"/>
      </w:pPr>
      <w:r>
        <w:t xml:space="preserve">In favour of GFA it is argued that it provides greater administrative convenience to taxpayer and is in keeping with economic reality of an integrated business entity.  </w:t>
      </w:r>
    </w:p>
    <w:p w:rsidR="00EC74B3" w:rsidRDefault="00EC74B3">
      <w:pPr>
        <w:spacing w:line="360" w:lineRule="auto"/>
        <w:jc w:val="both"/>
      </w:pPr>
      <w:r>
        <w:t>However GFA suffers from the following shortcoming due to which it has failed to become a realistic alternative to arm’s length principle:</w:t>
      </w:r>
    </w:p>
    <w:p w:rsidR="00EC74B3" w:rsidRDefault="00EC74B3" w:rsidP="005077F7">
      <w:pPr>
        <w:numPr>
          <w:ilvl w:val="0"/>
          <w:numId w:val="32"/>
        </w:numPr>
        <w:spacing w:line="360" w:lineRule="auto"/>
        <w:jc w:val="both"/>
      </w:pPr>
      <w:r>
        <w:t>The most serious concern with GFA is the difficulty of implementing the system in a manner that both protects against double taxation and ensures single taxation. To achieve this would require substantial international co-ordination and consensus on the predetermined formulae to be used and on the composition of the group in question.</w:t>
      </w:r>
    </w:p>
    <w:p w:rsidR="00EC74B3" w:rsidRDefault="00EC74B3" w:rsidP="005077F7">
      <w:pPr>
        <w:numPr>
          <w:ilvl w:val="0"/>
          <w:numId w:val="32"/>
        </w:numPr>
        <w:spacing w:line="360" w:lineRule="auto"/>
        <w:jc w:val="both"/>
      </w:pPr>
      <w:r>
        <w:t>Even if some countries are willing to accept GFA there would be disagreements because each country may want to emphasis or include different factors in the formula based on the activities or factors that predominate in its jurisdiction. Each country would have a strong incentive to devise formulae or formula weights that would maximise that country’s own revenue.</w:t>
      </w:r>
    </w:p>
    <w:p w:rsidR="00EC74B3" w:rsidRDefault="00EC74B3" w:rsidP="005077F7">
      <w:pPr>
        <w:numPr>
          <w:ilvl w:val="0"/>
          <w:numId w:val="32"/>
        </w:numPr>
        <w:spacing w:line="360" w:lineRule="auto"/>
        <w:jc w:val="both"/>
      </w:pPr>
      <w:r>
        <w:t xml:space="preserve">There could be tax avoidance to the extent that the components of the relevant formula can be manipulated. It can be achieved by entering into unnecessary financial transactions, by the deliberate location of mobile </w:t>
      </w:r>
      <w:r>
        <w:lastRenderedPageBreak/>
        <w:t>assets, by requiring that particular companies within an MNE group maintain inventory levels in excess of what normally would be encountered in an uncontrolled company of that, and so on.</w:t>
      </w:r>
    </w:p>
    <w:p w:rsidR="00EC74B3" w:rsidRDefault="00EC74B3" w:rsidP="005077F7">
      <w:pPr>
        <w:numPr>
          <w:ilvl w:val="0"/>
          <w:numId w:val="32"/>
        </w:numPr>
        <w:spacing w:line="360" w:lineRule="auto"/>
        <w:jc w:val="both"/>
      </w:pPr>
      <w:r>
        <w:t xml:space="preserve">The transition to a GFA system would present enormous political and administrative complexities and require a level of international co-operation that is unrealistic to expect in the field of international taxation. </w:t>
      </w:r>
    </w:p>
    <w:p w:rsidR="00EC74B3" w:rsidRDefault="00EC74B3" w:rsidP="005077F7">
      <w:pPr>
        <w:numPr>
          <w:ilvl w:val="0"/>
          <w:numId w:val="32"/>
        </w:numPr>
        <w:spacing w:line="360" w:lineRule="auto"/>
        <w:jc w:val="both"/>
      </w:pPr>
      <w:r>
        <w:t>One of the concerns that predetermined formulae may be arbitrary and disregard market conditions, the particular circumstances of the individual enterprises, and management’s own allocation of resources, thus producing an allocation of profits that may bear no sound relationship to the specific facts surrounding the transaction.</w:t>
      </w:r>
    </w:p>
    <w:p w:rsidR="00EC74B3" w:rsidRDefault="00EC74B3" w:rsidP="005077F7">
      <w:pPr>
        <w:numPr>
          <w:ilvl w:val="0"/>
          <w:numId w:val="32"/>
        </w:numPr>
        <w:spacing w:line="360" w:lineRule="auto"/>
        <w:jc w:val="both"/>
      </w:pPr>
      <w:r>
        <w:t>Another issue for the GFA approach is dealing with exchange rate movements. Under this method, the exchange rate movement may lead to increasing the profit of the associated enterprise operating with the stronger currency whereas in the long run a strengthening currency makes exports less competitive and leads to a downward pressure on profits.</w:t>
      </w:r>
    </w:p>
    <w:p w:rsidR="00EC74B3" w:rsidRDefault="00EC74B3" w:rsidP="005077F7">
      <w:pPr>
        <w:numPr>
          <w:ilvl w:val="0"/>
          <w:numId w:val="32"/>
        </w:numPr>
        <w:spacing w:line="360" w:lineRule="auto"/>
        <w:jc w:val="both"/>
      </w:pPr>
      <w:r>
        <w:t>Contrary to the assertion of its advocates, GFA methods may in fact present intolerable compliance costs and data requirements because information would have to be gathered about the entire MNE group and presented in each jurisdiction on the basis of the currency and the book and tax accounting rules of that particular jurisdiction.</w:t>
      </w:r>
    </w:p>
    <w:p w:rsidR="00EC74B3" w:rsidRDefault="00EC74B3" w:rsidP="005077F7">
      <w:pPr>
        <w:numPr>
          <w:ilvl w:val="0"/>
          <w:numId w:val="32"/>
        </w:numPr>
        <w:spacing w:line="360" w:lineRule="auto"/>
        <w:jc w:val="both"/>
      </w:pPr>
      <w:r>
        <w:t>Difficulties also would arise in determining the sales of each number and in the valuation of assets, especially in the valuation of intangible property. These difficulties would be compounded by the existence across taxing jurisdictions of different accounting standards and multiple currencies.</w:t>
      </w:r>
    </w:p>
    <w:p w:rsidR="00EC74B3" w:rsidRDefault="00EC74B3" w:rsidP="005077F7">
      <w:pPr>
        <w:numPr>
          <w:ilvl w:val="0"/>
          <w:numId w:val="32"/>
        </w:numPr>
        <w:spacing w:line="360" w:lineRule="auto"/>
        <w:jc w:val="both"/>
      </w:pPr>
      <w:r>
        <w:t>A GFA method would have the effect of taxing an MNE group on a consolidated basis and therefore abandons the separate entity approach. The arm’s length principle, in contrast, recognises that an associated enterprise may be a separate profit or loss centre with individual characteristics and economically may be earning a profit even when the rest of the MNE group is incurring a loss. A GFA approach does not have the flexibility to account properly for this possibility.</w:t>
      </w:r>
    </w:p>
    <w:p w:rsidR="00EC74B3" w:rsidRDefault="00EC74B3" w:rsidP="005077F7">
      <w:pPr>
        <w:numPr>
          <w:ilvl w:val="0"/>
          <w:numId w:val="32"/>
        </w:numPr>
        <w:spacing w:line="360" w:lineRule="auto"/>
        <w:jc w:val="both"/>
      </w:pPr>
      <w:r>
        <w:lastRenderedPageBreak/>
        <w:t>A clear disadvantage with GFA is that it does not provide a complete solution to the allocation of profits of an MNE group unless it is applied on the basis of the whole group.</w:t>
      </w:r>
    </w:p>
    <w:p w:rsidR="00EC74B3" w:rsidRDefault="00EC74B3">
      <w:pPr>
        <w:spacing w:line="360" w:lineRule="auto"/>
        <w:jc w:val="both"/>
        <w:rPr>
          <w:b/>
        </w:rPr>
      </w:pPr>
    </w:p>
    <w:p w:rsidR="00EC74B3" w:rsidRDefault="00EC74B3">
      <w:pPr>
        <w:spacing w:line="360" w:lineRule="auto"/>
        <w:jc w:val="both"/>
      </w:pPr>
      <w:r>
        <w:rPr>
          <w:b/>
        </w:rPr>
        <w:t>Summary</w:t>
      </w:r>
    </w:p>
    <w:p w:rsidR="00EC74B3" w:rsidRDefault="00EC74B3">
      <w:pPr>
        <w:spacing w:line="360" w:lineRule="auto"/>
        <w:ind w:firstLine="720"/>
        <w:jc w:val="both"/>
      </w:pPr>
      <w:r>
        <w:t>The Group appreciated that the Arm's length principle has come to be universally accepted as the guiding principle for the purposes of transfer pricing, as it places associated enterprises at the same level as independent enterprises for taxation purposes. Consequently, the methods for applying the principle are either based on the price in the comparable uncontrolled conditions or on the profits in such situations. The former is suggested to be superior in theory, and hence preferred. However, practical difficulties cause search for the appropriate profit based method. These arm's length methodologies are applicable not only in cases of transactions of goods and services, but also while dealing with intangibles and apportionment of costs when entities of a group combine to create an asset jointly. In the cases of failure to locate a comparable, apportionment methods have been suggested as alternative. However, these methods are observed to suffer from serious theoretical and practical inadequacies.  In view of these facts, the Group feels that adoption of the global formulatory method would not be in accordance with the international practice.</w:t>
      </w:r>
    </w:p>
    <w:p w:rsidR="00EC74B3" w:rsidRDefault="00EC74B3">
      <w:pPr>
        <w:spacing w:line="360" w:lineRule="auto"/>
        <w:ind w:firstLine="720"/>
        <w:jc w:val="both"/>
      </w:pPr>
      <w:r>
        <w:br w:type="page"/>
      </w:r>
    </w:p>
    <w:p w:rsidR="00EC74B3" w:rsidRDefault="00EC74B3">
      <w:pPr>
        <w:autoSpaceDE w:val="0"/>
        <w:autoSpaceDN w:val="0"/>
        <w:adjustRightInd w:val="0"/>
        <w:spacing w:line="360" w:lineRule="auto"/>
        <w:jc w:val="center"/>
        <w:rPr>
          <w:b/>
          <w:bCs/>
        </w:rPr>
      </w:pPr>
      <w:r>
        <w:rPr>
          <w:b/>
          <w:bCs/>
        </w:rPr>
        <w:t>CHAPTER IV</w:t>
      </w:r>
    </w:p>
    <w:p w:rsidR="00EC74B3" w:rsidRDefault="00EC74B3">
      <w:pPr>
        <w:pStyle w:val="Title"/>
        <w:tabs>
          <w:tab w:val="left" w:pos="8190"/>
        </w:tabs>
        <w:spacing w:line="360" w:lineRule="auto"/>
        <w:rPr>
          <w:sz w:val="24"/>
          <w:u w:val="none"/>
          <w:lang w:val="en-GB"/>
        </w:rPr>
      </w:pPr>
      <w:r>
        <w:rPr>
          <w:sz w:val="24"/>
          <w:u w:val="none"/>
          <w:lang w:val="en-GB"/>
        </w:rPr>
        <w:t>ASPECTS OF TRANSFER PRICING LEGISLATION</w:t>
      </w:r>
    </w:p>
    <w:p w:rsidR="00EC74B3" w:rsidRDefault="00EC74B3">
      <w:pPr>
        <w:pStyle w:val="Title"/>
        <w:tabs>
          <w:tab w:val="left" w:pos="8190"/>
        </w:tabs>
        <w:spacing w:line="360" w:lineRule="auto"/>
        <w:jc w:val="both"/>
        <w:rPr>
          <w:sz w:val="24"/>
          <w:u w:val="none"/>
          <w:lang w:val="en-GB"/>
        </w:rPr>
      </w:pPr>
      <w:proofErr w:type="gramStart"/>
      <w:r>
        <w:rPr>
          <w:sz w:val="24"/>
          <w:u w:val="none"/>
          <w:lang w:val="en-GB"/>
        </w:rPr>
        <w:t>Introduction :</w:t>
      </w:r>
      <w:proofErr w:type="gramEnd"/>
    </w:p>
    <w:p w:rsidR="00EC74B3" w:rsidRDefault="00EC74B3">
      <w:pPr>
        <w:pStyle w:val="Title"/>
        <w:tabs>
          <w:tab w:val="left" w:pos="720"/>
          <w:tab w:val="left" w:pos="8190"/>
        </w:tabs>
        <w:spacing w:line="360" w:lineRule="auto"/>
        <w:jc w:val="both"/>
        <w:rPr>
          <w:b w:val="0"/>
          <w:sz w:val="24"/>
          <w:u w:val="none"/>
        </w:rPr>
      </w:pPr>
      <w:r>
        <w:rPr>
          <w:bCs/>
          <w:sz w:val="24"/>
          <w:u w:val="none"/>
        </w:rPr>
        <w:t xml:space="preserve">4.1.1 </w:t>
      </w:r>
      <w:r>
        <w:rPr>
          <w:b w:val="0"/>
          <w:sz w:val="24"/>
          <w:u w:val="none"/>
        </w:rPr>
        <w:t>In this chapter, the Committee has examined various issues of Transfer Pricing Legislation which needs to be addressed for adopting the approach towards legal frame work and administrative set-up.</w:t>
      </w:r>
    </w:p>
    <w:p w:rsidR="00EC74B3" w:rsidRDefault="00EC74B3">
      <w:pPr>
        <w:pStyle w:val="Title"/>
        <w:tabs>
          <w:tab w:val="left" w:pos="720"/>
          <w:tab w:val="left" w:pos="8190"/>
        </w:tabs>
        <w:spacing w:line="360" w:lineRule="auto"/>
        <w:jc w:val="both"/>
        <w:rPr>
          <w:b w:val="0"/>
          <w:sz w:val="24"/>
          <w:u w:val="none"/>
        </w:rPr>
      </w:pPr>
      <w:r>
        <w:rPr>
          <w:sz w:val="24"/>
          <w:u w:val="none"/>
        </w:rPr>
        <w:t>4.1.2</w:t>
      </w:r>
      <w:r>
        <w:rPr>
          <w:b w:val="0"/>
          <w:bCs/>
        </w:rPr>
        <w:t xml:space="preserve"> </w:t>
      </w:r>
      <w:r>
        <w:rPr>
          <w:b w:val="0"/>
          <w:sz w:val="24"/>
          <w:u w:val="none"/>
        </w:rPr>
        <w:t xml:space="preserve">As already stated an efficient transfer pricing system should not only be </w:t>
      </w:r>
      <w:proofErr w:type="gramStart"/>
      <w:r>
        <w:rPr>
          <w:b w:val="0"/>
          <w:sz w:val="24"/>
          <w:u w:val="none"/>
        </w:rPr>
        <w:t>a revenue</w:t>
      </w:r>
      <w:proofErr w:type="gramEnd"/>
      <w:r>
        <w:rPr>
          <w:b w:val="0"/>
          <w:sz w:val="24"/>
          <w:u w:val="none"/>
        </w:rPr>
        <w:t xml:space="preserve"> raising machinery but should also provide a reasonable method for allocating revenue to the concerned taxation jurisidiction.  It is equally necessary that transfer pricing system should ensure a fair distribution of income of MNE between the countries involved and the principles underlining the legislation are internationally acceptable.  Cost of administering the legislation and compliance should not be high.  Besides this, an efficient system should provide the mechanism for dispute resolution.</w:t>
      </w:r>
    </w:p>
    <w:p w:rsidR="00EC74B3" w:rsidRDefault="00EC74B3">
      <w:pPr>
        <w:spacing w:line="360" w:lineRule="auto"/>
      </w:pPr>
      <w:r>
        <w:t>We are of the view that before recommending the proposed structure of the transfer pricing legislation, it may be relevant to examine all issues of transfer pricing.  The main issues considered in this regard concerns the subject of Associated Enterprises, transactions subject to adjustment, documentation requirement, burden of proof, penalties and mechanism for dispute resolution.  While considering these issues, we have examined legislation prevalent in other countries and its relevance in the Indian context.  The various issues are discussed below.</w:t>
      </w:r>
    </w:p>
    <w:p w:rsidR="00EC74B3" w:rsidRDefault="00EC74B3">
      <w:pPr>
        <w:pStyle w:val="Heading1"/>
        <w:autoSpaceDE/>
        <w:autoSpaceDN/>
        <w:adjustRightInd/>
        <w:rPr>
          <w:rFonts w:ascii="Times New Roman" w:hAnsi="Times New Roman" w:cs="Times New Roman"/>
          <w:lang w:val="en-GB"/>
        </w:rPr>
      </w:pPr>
      <w:r>
        <w:rPr>
          <w:rFonts w:ascii="Times New Roman" w:hAnsi="Times New Roman" w:cs="Times New Roman"/>
          <w:lang w:val="en-GB"/>
        </w:rPr>
        <w:t>International Experience</w:t>
      </w:r>
    </w:p>
    <w:p w:rsidR="00EC74B3" w:rsidRDefault="00EC74B3">
      <w:pPr>
        <w:autoSpaceDE w:val="0"/>
        <w:autoSpaceDN w:val="0"/>
        <w:adjustRightInd w:val="0"/>
        <w:spacing w:line="360" w:lineRule="auto"/>
        <w:jc w:val="both"/>
      </w:pPr>
      <w:r>
        <w:rPr>
          <w:b/>
          <w:bCs/>
        </w:rPr>
        <w:t xml:space="preserve">4.2.1 </w:t>
      </w:r>
      <w:r>
        <w:t xml:space="preserve">The transfer pricing provisions were first introduced at the time of World War-I. The aim was to discourage tax avoidance by the device of manipulating prices with overseas associates so as to accumulate profits off shore and away from high tax nations. The U.K. was the first country to introduce anti avoidance legislation in 1915, closely followed by USA in 1917.  The initial role of transfer pricing legislation was as much preventive as operational. The main objective was to discourage companies from shifting profits to overseas associates through under or overpricing of cross border transactions. Between 1915 and the mid 1960’s transfer pricing was not an important issue as there was not significant international trade in this period mainly due to world depression of 1930s and World War II.  But in the mid-1970s rapid advance in communication and technology made international movement of goods services and finance much earlier.  This made transfer pricing manipulation much </w:t>
      </w:r>
      <w:r>
        <w:lastRenderedPageBreak/>
        <w:t xml:space="preserve">easier and quicker and also brought transfer pricing to the central stage of international taxation.  USA took initiative in developing a transfer pricing system consisting of comprehensive legislation, detailed guidelines and an efficient administrative set up.  Soon other countries followed and transfer-pricing regulations were adopted in UK, Canada, Australia, Germany, Japan, Korea, and China etc.  </w:t>
      </w:r>
    </w:p>
    <w:p w:rsidR="00EC74B3" w:rsidRDefault="00EC74B3">
      <w:pPr>
        <w:autoSpaceDE w:val="0"/>
        <w:autoSpaceDN w:val="0"/>
        <w:adjustRightInd w:val="0"/>
        <w:spacing w:line="360" w:lineRule="auto"/>
        <w:jc w:val="both"/>
      </w:pPr>
      <w:r>
        <w:rPr>
          <w:b/>
          <w:bCs/>
        </w:rPr>
        <w:t xml:space="preserve">4.2.2 </w:t>
      </w:r>
      <w:r>
        <w:t>The OECD has been playing most important role in establishing international consensus on various aspects of transfer pricing. In the very early 1970s OECD undertook study on transfer pricing, which resulted in 1979 in the Report "Transfer Pricing and Multinational Enterprises", which set out in fairly general terms the first international guidelines on the tax treatment of transfer prices. A further Report of the OECD in 1984 expanded the 1979 discussion of transfer prices for intra-Group services. It also dealt in some detail with the treatment of intra-Bank interest. In addition, it considered, without making any very positive recommendations, the problem of how to deal with differences of opinion between tax administrations. Other reports of the OECD have considered the related problems of how to deal with "thin capitalisation" (1987), the tax consequences of foreign exchange gains and losses (1988) and the attribution of income to permanent establishments (1994).</w:t>
      </w:r>
    </w:p>
    <w:p w:rsidR="00EC74B3" w:rsidRDefault="00EC74B3">
      <w:pPr>
        <w:pStyle w:val="BodyText3"/>
        <w:spacing w:line="360" w:lineRule="auto"/>
        <w:rPr>
          <w:rFonts w:ascii="Times New Roman" w:hAnsi="Times New Roman" w:cs="Times New Roman"/>
          <w:szCs w:val="24"/>
          <w:lang w:val="en-GB"/>
        </w:rPr>
      </w:pPr>
      <w:r>
        <w:rPr>
          <w:rFonts w:ascii="Times New Roman" w:hAnsi="Times New Roman" w:cs="Times New Roman"/>
          <w:b/>
          <w:bCs/>
          <w:szCs w:val="24"/>
          <w:lang w:val="en-GB"/>
        </w:rPr>
        <w:t xml:space="preserve">4.2.3 </w:t>
      </w:r>
      <w:r>
        <w:rPr>
          <w:rFonts w:ascii="Times New Roman" w:hAnsi="Times New Roman" w:cs="Times New Roman"/>
          <w:szCs w:val="24"/>
          <w:lang w:val="en-GB"/>
        </w:rPr>
        <w:t xml:space="preserve">In 1995 it produced a Report dealing with part of the topic. This deals with transfer pricing in a general way, leaving a number of particular aspects, such as the special problems involved in the pricing of intra-Group services, intangibles and loans, to be dealt with in subsequent reports. The 1995 the OECD published “Transfer Pricing Guidelines </w:t>
      </w:r>
      <w:proofErr w:type="gramStart"/>
      <w:r>
        <w:rPr>
          <w:rFonts w:ascii="Times New Roman" w:hAnsi="Times New Roman" w:cs="Times New Roman"/>
          <w:szCs w:val="24"/>
          <w:lang w:val="en-GB"/>
        </w:rPr>
        <w:t>For Multinational Enterprises And</w:t>
      </w:r>
      <w:proofErr w:type="gramEnd"/>
      <w:r>
        <w:rPr>
          <w:rFonts w:ascii="Times New Roman" w:hAnsi="Times New Roman" w:cs="Times New Roman"/>
          <w:szCs w:val="24"/>
          <w:lang w:val="en-GB"/>
        </w:rPr>
        <w:t xml:space="preserve"> Tax Administration”, which is a very comprehensive study on almost all aspects of transfer pricing. The 1995 Report, however, gives much more detailed and systematic (and often more positive) guidance, by way of specific recommendations and examples, firming up and elaborating the often tentative and brief comments of the earlier reports. In addition it deals in considerable detail with a number of topics which were merely touched upon, or were not considered at all by the earlier reports, such as, for example, the need to recognize that the evidence for arm's length pricing will often do no more than indicate a range within which the arm's length price may be regarded as falling, the usefulness of multiple year data, the incidence of the burden of proof in transfer pricing cases and the need to be flexible and rational in operating national provisions in this area, penalties (emphasizing that they should be fair and not unduly onerous for the taxpayer and should be proportionate to the offence), corresponding and </w:t>
      </w:r>
      <w:r>
        <w:rPr>
          <w:rFonts w:ascii="Times New Roman" w:hAnsi="Times New Roman" w:cs="Times New Roman"/>
          <w:szCs w:val="24"/>
          <w:lang w:val="en-GB"/>
        </w:rPr>
        <w:lastRenderedPageBreak/>
        <w:t xml:space="preserve">compensatory adjustments and a number of administrative matters, such as examination practices (including simultaneous auditing or examination of the accounts of a multinational by more than one country), advance pricing agreements and, quite importantly, the amount and kind of documentation which can reasonably be demanded from multinationals involved in discussions about transfer pricing with tax authorities. The Report represents in fact a very important advance towards the achievement of satisfactory international guidelines for taxpayers and tax authorities alike, and, standardised approaches of tax authorities to these kinds of </w:t>
      </w:r>
      <w:proofErr w:type="gramStart"/>
      <w:r>
        <w:rPr>
          <w:rFonts w:ascii="Times New Roman" w:hAnsi="Times New Roman" w:cs="Times New Roman"/>
          <w:szCs w:val="24"/>
          <w:lang w:val="en-GB"/>
        </w:rPr>
        <w:t>issue,</w:t>
      </w:r>
      <w:proofErr w:type="gramEnd"/>
      <w:r>
        <w:rPr>
          <w:rFonts w:ascii="Times New Roman" w:hAnsi="Times New Roman" w:cs="Times New Roman"/>
          <w:szCs w:val="24"/>
          <w:lang w:val="en-GB"/>
        </w:rPr>
        <w:t xml:space="preserve"> it is a useful tool to multinational enterprises, in pointing the way to reasonable and certain national rules across the world.</w:t>
      </w:r>
      <w:r>
        <w:rPr>
          <w:rFonts w:ascii="Times New Roman" w:hAnsi="Times New Roman" w:cs="Times New Roman"/>
          <w:szCs w:val="24"/>
          <w:lang w:val="en-GB"/>
        </w:rPr>
        <w:tab/>
      </w:r>
    </w:p>
    <w:p w:rsidR="00EC74B3" w:rsidRDefault="00EC74B3">
      <w:pPr>
        <w:pStyle w:val="BodyText"/>
        <w:spacing w:line="360" w:lineRule="auto"/>
        <w:jc w:val="both"/>
        <w:rPr>
          <w:rFonts w:ascii="Times New Roman" w:hAnsi="Times New Roman" w:cs="Times New Roman"/>
          <w:sz w:val="24"/>
        </w:rPr>
      </w:pPr>
      <w:r>
        <w:rPr>
          <w:rFonts w:ascii="Times New Roman" w:hAnsi="Times New Roman" w:cs="Times New Roman"/>
          <w:b/>
          <w:bCs/>
          <w:sz w:val="24"/>
        </w:rPr>
        <w:t xml:space="preserve">4.2.4 </w:t>
      </w:r>
      <w:r>
        <w:rPr>
          <w:rFonts w:ascii="Times New Roman" w:hAnsi="Times New Roman" w:cs="Times New Roman"/>
          <w:sz w:val="24"/>
        </w:rPr>
        <w:t>Arguably one of the main factors that thrust transfer pricing to centre stage was the tough and aggressive position adopted by US. Concerned by the threats to their revenues, governments and tax authorities responded by enacting specific provisions on transfer pricing, publishing detailed guidelines, equipping the IRS with expertise in examination of transfer pricing cases and using other means of attacking the growing use of tax havens. In 1986, the US Congress ordered a comprehensive study of inter-company transfer pricing and directed the IRS to consider carefully whether the then-existing regulations should be modified.  Accordingly, Sec. 482 Internal Revenue Code (IRC) was changed to be commensurate with income standards. In 1988 the Internal Revenue Service (IRS) published the so-called White Paper, the first IRS interpretation of the newly introduced provision. Following proposed regulations in 1992 and the temporary rules in 1993, in July 1994 the IRS issued the final transfer pricing regulations to sec. 482 IRC, followed in 1995 by regulations on cost sharing. Section 482 produced below provides wide power to tax authorities for dealing with transfer pricing cases:</w:t>
      </w:r>
    </w:p>
    <w:p w:rsidR="00EC74B3" w:rsidRDefault="00EC74B3">
      <w:pPr>
        <w:pStyle w:val="BlockText"/>
      </w:pPr>
      <w:r>
        <w:t xml:space="preserve">In any case of two or more organizations, trades, or businesses (whether or not incorporated, whether or not organized in the United States, and whether or not affiliated) owned or controlled directly or indirectly by the same interests, the Secretary may distribute, apportion, or allocate gross income, deductions, credits, or allowances between or among such organizations, trades, or businesses, if he determines that such distribution, apportionment, or allocation is necessary in order to prevent evasion of taxes or clearly to reflect the income of any of such organizations, trades, or businesses. In the case of any transfer (or license) or intangible property </w:t>
      </w:r>
      <w:r>
        <w:lastRenderedPageBreak/>
        <w:t>(within the meaning of section 936(h</w:t>
      </w:r>
      <w:proofErr w:type="gramStart"/>
      <w:r>
        <w:t>)(</w:t>
      </w:r>
      <w:proofErr w:type="gramEnd"/>
      <w:r>
        <w:t>3)(B)), the income with respect to such transfer or license shall be commensurate with the income attributable to the intangible.</w:t>
      </w:r>
    </w:p>
    <w:p w:rsidR="00EC74B3" w:rsidRDefault="00EC74B3">
      <w:pPr>
        <w:pStyle w:val="Title"/>
        <w:tabs>
          <w:tab w:val="left" w:pos="720"/>
          <w:tab w:val="left" w:pos="8190"/>
        </w:tabs>
        <w:spacing w:line="360" w:lineRule="auto"/>
        <w:jc w:val="both"/>
        <w:rPr>
          <w:b w:val="0"/>
          <w:bCs/>
          <w:sz w:val="24"/>
          <w:u w:val="none"/>
          <w:lang w:val="en-GB"/>
        </w:rPr>
      </w:pPr>
      <w:r>
        <w:rPr>
          <w:b w:val="0"/>
          <w:bCs/>
          <w:sz w:val="24"/>
          <w:u w:val="none"/>
        </w:rPr>
        <w:t>The example set by the US was soon followed by other countries, most notably being Canada, Australia, New Zealand, UK, Japan, China, Korea etc. A comparative study of legislation of various countries is at Annexure I.</w:t>
      </w:r>
    </w:p>
    <w:p w:rsidR="00EC74B3" w:rsidRDefault="00EC74B3">
      <w:pPr>
        <w:pStyle w:val="Title"/>
        <w:tabs>
          <w:tab w:val="left" w:pos="720"/>
          <w:tab w:val="left" w:pos="8190"/>
        </w:tabs>
        <w:spacing w:line="360" w:lineRule="auto"/>
        <w:jc w:val="both"/>
        <w:rPr>
          <w:u w:val="none"/>
          <w:lang w:val="en-GB"/>
        </w:rPr>
      </w:pPr>
      <w:r>
        <w:rPr>
          <w:u w:val="none"/>
          <w:lang w:val="en-GB"/>
        </w:rPr>
        <w:t xml:space="preserve"> </w:t>
      </w:r>
    </w:p>
    <w:p w:rsidR="00EC74B3" w:rsidRDefault="00EC74B3">
      <w:pPr>
        <w:pStyle w:val="Title"/>
        <w:tabs>
          <w:tab w:val="left" w:pos="720"/>
          <w:tab w:val="left" w:pos="8190"/>
        </w:tabs>
        <w:spacing w:line="360" w:lineRule="auto"/>
        <w:jc w:val="both"/>
        <w:rPr>
          <w:sz w:val="24"/>
        </w:rPr>
      </w:pPr>
      <w:r>
        <w:rPr>
          <w:sz w:val="24"/>
        </w:rPr>
        <w:t>ASSOCIATED ENTERPRISES</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360" w:lineRule="auto"/>
        <w:ind w:right="-1080"/>
        <w:jc w:val="both"/>
        <w:rPr>
          <w:rFonts w:eastAsia="Arial"/>
          <w:color w:val="000000"/>
        </w:rPr>
      </w:pPr>
      <w:r>
        <w:rPr>
          <w:rFonts w:eastAsia="Arial"/>
          <w:b/>
          <w:bCs/>
          <w:color w:val="000000"/>
        </w:rPr>
        <w:t xml:space="preserve">4.3.1 </w:t>
      </w:r>
      <w:r>
        <w:rPr>
          <w:rFonts w:eastAsia="Arial"/>
          <w:color w:val="000000"/>
        </w:rPr>
        <w:t xml:space="preserve">Transfer pricing rules and the power of the tax authorities to adjust profits between enterprises apply only when the parties to the transaction are associated enterprises. Hence, definition of "associated enterprises" is important in determining the subjective scope of application of an international transfer pricing issues. Article 9 of the OECD Model Treaty also deals with the issues of transactions with associated enterprises that </w:t>
      </w:r>
      <w:proofErr w:type="gramStart"/>
      <w:r>
        <w:rPr>
          <w:rFonts w:eastAsia="Arial"/>
          <w:color w:val="000000"/>
        </w:rPr>
        <w:t>is  (</w:t>
      </w:r>
      <w:proofErr w:type="gramEnd"/>
      <w:r>
        <w:rPr>
          <w:rFonts w:eastAsia="Arial"/>
          <w:color w:val="000000"/>
        </w:rPr>
        <w:t>referred as Article 9) aimed at avoiding economic double taxation. The rule embodies in the article is not complete by it self, since it depends upon domestic laws of the treaty partners for its interpretation and clarification.  The functioning and effectiveness of the corresponding adjustments provided in Article 9 also depends on the domestic tax laws of the treaty partners as to the definition of related parties for transfer pricing purposes.</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360" w:lineRule="auto"/>
        <w:ind w:right="-1080"/>
        <w:jc w:val="both"/>
        <w:rPr>
          <w:rFonts w:eastAsia="Arial"/>
          <w:color w:val="000000"/>
        </w:rPr>
      </w:pPr>
      <w:r>
        <w:rPr>
          <w:rFonts w:eastAsia="Arial"/>
          <w:b/>
          <w:bCs/>
          <w:color w:val="000000"/>
        </w:rPr>
        <w:t xml:space="preserve">4.3.2 </w:t>
      </w:r>
      <w:r>
        <w:rPr>
          <w:rFonts w:eastAsia="Arial"/>
          <w:color w:val="000000"/>
        </w:rPr>
        <w:t>The most common way in which the persons or entities become associated enterprises is through stock ownership. Even if two persons or entities are not associated under the stock ownership rules they may be associated enterprises because of other factors for example if some one excises “Effective Control” over the other.</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pacing w:line="360" w:lineRule="auto"/>
        <w:ind w:right="-1080"/>
        <w:jc w:val="both"/>
        <w:rPr>
          <w:rFonts w:eastAsia="Arial"/>
          <w:b/>
          <w:color w:val="000000"/>
          <w:u w:val="single"/>
        </w:rPr>
      </w:pPr>
      <w:r>
        <w:rPr>
          <w:rFonts w:eastAsia="Arial"/>
          <w:b/>
          <w:bCs/>
          <w:color w:val="000000"/>
        </w:rPr>
        <w:t xml:space="preserve">4.3.3 </w:t>
      </w:r>
      <w:r>
        <w:rPr>
          <w:rFonts w:eastAsia="Arial"/>
          <w:color w:val="000000"/>
        </w:rPr>
        <w:t xml:space="preserve">The OECD Guidelines defines, the term “Associated Enterprises” to mean  enterprises  with respect to each other if one of the enterprises meets the conditions of  sub-paragraphs (1a) and (1b) of the article 9 of the OECD Model Tax Convention with respect to the other enterprise.   However, it does not elaborate the definition and is left to countries to do that in accordance with their domestic laws.  </w:t>
      </w:r>
    </w:p>
    <w:p w:rsidR="00EC74B3" w:rsidRDefault="00EC74B3">
      <w:pPr>
        <w:tabs>
          <w:tab w:val="left" w:pos="8640"/>
        </w:tabs>
        <w:spacing w:line="360" w:lineRule="auto"/>
        <w:jc w:val="both"/>
      </w:pPr>
      <w:r>
        <w:rPr>
          <w:b/>
          <w:bCs/>
        </w:rPr>
        <w:t xml:space="preserve">4.3.4 </w:t>
      </w:r>
      <w:r>
        <w:t xml:space="preserve">The concept of related parties or associated enterprises is found in the regulations of all the nations or jurisdictions where </w:t>
      </w:r>
      <w:proofErr w:type="gramStart"/>
      <w:r>
        <w:t>transfer-pricing regulations exists</w:t>
      </w:r>
      <w:proofErr w:type="gramEnd"/>
      <w:r>
        <w:t xml:space="preserve">. However based on the needs of each nation the definition is either made exhaustive or restrictive.  </w:t>
      </w:r>
      <w:proofErr w:type="gramStart"/>
      <w:r>
        <w:t>The common feature being emphasis on controlling the management, capital and activities of one another directly or indirectly.</w:t>
      </w:r>
      <w:proofErr w:type="gramEnd"/>
      <w:r>
        <w:t xml:space="preserve"> The discussion brings out certain important features of the definition of “associated enterprises” in some of the countries.  </w:t>
      </w:r>
    </w:p>
    <w:p w:rsidR="00EC74B3" w:rsidRDefault="00EC74B3">
      <w:pPr>
        <w:tabs>
          <w:tab w:val="left" w:pos="8640"/>
        </w:tabs>
        <w:autoSpaceDE w:val="0"/>
        <w:autoSpaceDN w:val="0"/>
        <w:adjustRightInd w:val="0"/>
        <w:spacing w:line="360" w:lineRule="auto"/>
        <w:jc w:val="both"/>
      </w:pPr>
      <w:r>
        <w:rPr>
          <w:b/>
          <w:bCs/>
        </w:rPr>
        <w:lastRenderedPageBreak/>
        <w:t xml:space="preserve">4.3.5 </w:t>
      </w:r>
      <w:r>
        <w:t xml:space="preserve">The U.K.  </w:t>
      </w:r>
      <w:proofErr w:type="gramStart"/>
      <w:r>
        <w:t>laws  besides</w:t>
      </w:r>
      <w:proofErr w:type="gramEnd"/>
      <w:r>
        <w:t xml:space="preserve"> providing the situations where two persons or entities can be said to be ‘ connected  person’ also defines ‘control’ and ‘ Associated Enterprises”  in the context of close companies.  Simply stated the term  "control", in relation to a body corporate, means the power of a person to secure  by means of the holding of shares or the possession of voting power in or in relation to that or any other body corporate; or  by virtue of any powers conferred by the articles of association or other document regulating that or any other body corporate,   Similarly,  a company is to be treated as another's "associated company" at a given time if, at that time or at any time within one year previously, one of the two has control of the other, or both are under the control of the same person or persons.</w:t>
      </w:r>
    </w:p>
    <w:p w:rsidR="00EC74B3" w:rsidRDefault="00EC74B3">
      <w:pPr>
        <w:tabs>
          <w:tab w:val="left" w:pos="8640"/>
        </w:tabs>
        <w:autoSpaceDE w:val="0"/>
        <w:autoSpaceDN w:val="0"/>
        <w:adjustRightInd w:val="0"/>
        <w:spacing w:line="360" w:lineRule="auto"/>
        <w:jc w:val="both"/>
      </w:pPr>
      <w:r>
        <w:rPr>
          <w:b/>
          <w:bCs/>
        </w:rPr>
        <w:t xml:space="preserve">4.3.6 </w:t>
      </w:r>
      <w:r>
        <w:t xml:space="preserve">Section 482 of U.S.A.  </w:t>
      </w:r>
      <w:proofErr w:type="gramStart"/>
      <w:r>
        <w:t>regulations</w:t>
      </w:r>
      <w:proofErr w:type="gramEnd"/>
      <w:r>
        <w:t xml:space="preserve">, allows the IRS to reallocate income or expense between parties "owned or controlled directly or indirectly by the same interests". The term "controlled" for purposes of Sec. 482 includes any kind of control, direct or indirect, whether legally enforceable or not, and however exercisable or exercised, including control resulting from the actions of two or more taxpayers (regardless of whether they are related or affiliated) acting in concert or with a common goal or purpose. </w:t>
      </w:r>
    </w:p>
    <w:p w:rsidR="00EC74B3" w:rsidRDefault="00EC74B3">
      <w:pPr>
        <w:tabs>
          <w:tab w:val="left" w:pos="8640"/>
        </w:tabs>
        <w:autoSpaceDE w:val="0"/>
        <w:autoSpaceDN w:val="0"/>
        <w:adjustRightInd w:val="0"/>
        <w:spacing w:line="360" w:lineRule="auto"/>
        <w:jc w:val="both"/>
      </w:pPr>
      <w:r>
        <w:t>It is the reality of the control which is decisive, not its form or the mode of its exercise. A presumption of control arises if income or deductions have been arbitrarily shifted.</w:t>
      </w:r>
    </w:p>
    <w:p w:rsidR="00EC74B3" w:rsidRDefault="00EC74B3">
      <w:pPr>
        <w:tabs>
          <w:tab w:val="left" w:pos="0"/>
          <w:tab w:val="left" w:pos="720"/>
          <w:tab w:val="left" w:pos="1728"/>
          <w:tab w:val="left" w:pos="8640"/>
        </w:tabs>
        <w:autoSpaceDE w:val="0"/>
        <w:autoSpaceDN w:val="0"/>
        <w:adjustRightInd w:val="0"/>
        <w:spacing w:line="360" w:lineRule="auto"/>
        <w:jc w:val="both"/>
      </w:pPr>
      <w:r>
        <w:t>The term "controlled taxpayer" means any one of two or more organizations, trades, or businesses owned or controlled directly or indirectly by the same interests.</w:t>
      </w:r>
    </w:p>
    <w:p w:rsidR="00EC74B3" w:rsidRDefault="00EC74B3">
      <w:pPr>
        <w:tabs>
          <w:tab w:val="left" w:pos="0"/>
          <w:tab w:val="left" w:pos="720"/>
          <w:tab w:val="left" w:pos="1728"/>
          <w:tab w:val="left" w:pos="8640"/>
        </w:tabs>
        <w:autoSpaceDE w:val="0"/>
        <w:autoSpaceDN w:val="0"/>
        <w:adjustRightInd w:val="0"/>
        <w:spacing w:line="360" w:lineRule="auto"/>
        <w:jc w:val="both"/>
      </w:pPr>
      <w:r>
        <w:t>The terms "group" and "group of controlled taxpayers" mean the organizations, trades, or businesses owned or controlled by the same interests.</w:t>
      </w:r>
    </w:p>
    <w:p w:rsidR="00EC74B3" w:rsidRDefault="00EC74B3">
      <w:pPr>
        <w:pStyle w:val="Heading6"/>
        <w:rPr>
          <w:sz w:val="24"/>
        </w:rPr>
      </w:pPr>
      <w:r>
        <w:rPr>
          <w:b/>
          <w:bCs/>
          <w:i w:val="0"/>
          <w:iCs/>
          <w:sz w:val="24"/>
        </w:rPr>
        <w:t xml:space="preserve">4.3.7 </w:t>
      </w:r>
      <w:r>
        <w:rPr>
          <w:sz w:val="24"/>
        </w:rPr>
        <w:t>"Related Overseas Entity" in relation to an Australian company includes: -</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rFonts w:eastAsia="Arial"/>
        </w:rPr>
      </w:pPr>
      <w:r>
        <w:rPr>
          <w:rFonts w:eastAsia="Arial"/>
        </w:rPr>
        <w:t xml:space="preserve">- </w:t>
      </w:r>
      <w:r>
        <w:rPr>
          <w:rFonts w:eastAsia="Arial"/>
        </w:rPr>
        <w:tab/>
      </w:r>
      <w:proofErr w:type="gramStart"/>
      <w:r>
        <w:rPr>
          <w:rFonts w:eastAsia="Arial"/>
        </w:rPr>
        <w:t>any</w:t>
      </w:r>
      <w:proofErr w:type="gramEnd"/>
      <w:r>
        <w:rPr>
          <w:rFonts w:eastAsia="Arial"/>
        </w:rPr>
        <w:t xml:space="preserve"> overseas entity which participates directly or indirectly in the management, control or capital of the Australian company;</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rPr>
      </w:pPr>
      <w:r>
        <w:rPr>
          <w:rFonts w:eastAsia="Arial"/>
        </w:rPr>
        <w:t xml:space="preserve">- </w:t>
      </w:r>
      <w:r>
        <w:rPr>
          <w:rFonts w:eastAsia="Arial"/>
        </w:rPr>
        <w:tab/>
      </w:r>
      <w:proofErr w:type="gramStart"/>
      <w:r>
        <w:rPr>
          <w:rFonts w:eastAsia="Arial"/>
        </w:rPr>
        <w:t>any</w:t>
      </w:r>
      <w:proofErr w:type="gramEnd"/>
      <w:r>
        <w:rPr>
          <w:rFonts w:eastAsia="Arial"/>
        </w:rPr>
        <w:t xml:space="preserve"> overseas entity in respect of which the Australian company, directly or indirectly, participates in the management, control or capital;</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rPr>
      </w:pPr>
      <w:r>
        <w:rPr>
          <w:rFonts w:eastAsia="Arial"/>
        </w:rPr>
        <w:t xml:space="preserve">- </w:t>
      </w:r>
      <w:r>
        <w:rPr>
          <w:rFonts w:eastAsia="Arial"/>
        </w:rPr>
        <w:tab/>
        <w:t>any overseas entity in respect of which persons who participated directly or indirectly in its management, control or capital are the same persons who participate directly or indirectly in the management, control or capital of the Australian company;</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rPr>
      </w:pPr>
      <w:r>
        <w:rPr>
          <w:rFonts w:eastAsia="Arial"/>
        </w:rPr>
        <w:lastRenderedPageBreak/>
        <w:t xml:space="preserve">- </w:t>
      </w:r>
      <w:r>
        <w:rPr>
          <w:rFonts w:eastAsia="Arial"/>
        </w:rPr>
        <w:tab/>
      </w:r>
      <w:proofErr w:type="gramStart"/>
      <w:r>
        <w:rPr>
          <w:rFonts w:eastAsia="Arial"/>
        </w:rPr>
        <w:t>any</w:t>
      </w:r>
      <w:proofErr w:type="gramEnd"/>
      <w:r>
        <w:rPr>
          <w:rFonts w:eastAsia="Arial"/>
        </w:rPr>
        <w:t xml:space="preserve"> non-resident individual who participates directly or indirectly in the management, control or capital of the Australian company.</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rPr>
      </w:pPr>
      <w:r>
        <w:rPr>
          <w:rFonts w:eastAsia="Arial"/>
        </w:rPr>
        <w:t xml:space="preserve">Further the entities can also be related through the intervening agency of a financial adviser. For example, an adviser may guarantee or arrange for a third party to guarantee, an international transaction. The overseas entity can be of any type including, but not necessarily limited to, companies, their permanent establishments, trust, partnerships and individuals. The concept of participation mentioned above includes both direct and indirect participation. Direct participation covers the obvious situations such as shareholdings of 15% or more, trusteeships, directorships and partnership shares. Indirect participation covers many varied situations. Discretionary trusts and nominee companies are two of the more obvious ones. Also included is the situation where an entity controls both an Australian company and an overseas entity. This indirect participation is capable of extending through a series of relationships. </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b/>
          <w:bCs/>
        </w:rPr>
      </w:pP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b/>
          <w:bCs/>
        </w:rPr>
        <w:t xml:space="preserve">4.3.8 </w:t>
      </w:r>
      <w:r>
        <w:rPr>
          <w:rFonts w:eastAsia="Arial"/>
          <w:color w:val="000000"/>
        </w:rPr>
        <w:t>The Canadian Law on transfer pricing uses the term ‘related persons which are:</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rFonts w:eastAsia="Arial"/>
          <w:color w:val="000000"/>
        </w:rPr>
        <w:t xml:space="preserve"> (a) </w:t>
      </w:r>
      <w:proofErr w:type="gramStart"/>
      <w:r>
        <w:rPr>
          <w:rFonts w:eastAsia="Arial"/>
          <w:color w:val="000000"/>
        </w:rPr>
        <w:t>individuals</w:t>
      </w:r>
      <w:proofErr w:type="gramEnd"/>
      <w:r>
        <w:rPr>
          <w:rFonts w:eastAsia="Arial"/>
          <w:color w:val="000000"/>
        </w:rPr>
        <w:t xml:space="preserve"> connected by blood relationship, marriage or adoption;</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rFonts w:eastAsia="Arial"/>
          <w:color w:val="000000"/>
        </w:rPr>
        <w:t xml:space="preserve"> (b) </w:t>
      </w:r>
      <w:proofErr w:type="gramStart"/>
      <w:r>
        <w:rPr>
          <w:rFonts w:eastAsia="Arial"/>
          <w:color w:val="000000"/>
        </w:rPr>
        <w:t>a</w:t>
      </w:r>
      <w:proofErr w:type="gramEnd"/>
      <w:r>
        <w:rPr>
          <w:rFonts w:eastAsia="Arial"/>
          <w:color w:val="000000"/>
        </w:rPr>
        <w:t xml:space="preserve"> corporation and</w:t>
      </w:r>
    </w:p>
    <w:p w:rsidR="00EC74B3" w:rsidRDefault="00EC74B3">
      <w:pPr>
        <w:tabs>
          <w:tab w:val="left" w:pos="0"/>
          <w:tab w:val="left" w:pos="54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eastAsia="Arial"/>
          <w:color w:val="000000"/>
        </w:rPr>
      </w:pPr>
      <w:r>
        <w:rPr>
          <w:rFonts w:eastAsia="Arial"/>
          <w:color w:val="000000"/>
        </w:rPr>
        <w:t xml:space="preserve"> </w:t>
      </w:r>
      <w:r>
        <w:rPr>
          <w:rFonts w:eastAsia="Arial"/>
          <w:color w:val="000000"/>
        </w:rPr>
        <w:tab/>
        <w:t>(i)</w:t>
      </w:r>
      <w:r>
        <w:rPr>
          <w:rFonts w:eastAsia="Arial"/>
          <w:color w:val="000000"/>
        </w:rPr>
        <w:tab/>
      </w:r>
      <w:proofErr w:type="gramStart"/>
      <w:r>
        <w:rPr>
          <w:rFonts w:eastAsia="Arial"/>
          <w:color w:val="000000"/>
        </w:rPr>
        <w:t>a</w:t>
      </w:r>
      <w:proofErr w:type="gramEnd"/>
      <w:r>
        <w:rPr>
          <w:rFonts w:eastAsia="Arial"/>
          <w:color w:val="000000"/>
        </w:rPr>
        <w:t xml:space="preserve"> person who controls the corporation, if it is controlled by one person,</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 xml:space="preserve">       (ii)</w:t>
      </w:r>
      <w:r>
        <w:rPr>
          <w:rFonts w:eastAsia="Arial"/>
          <w:color w:val="000000"/>
        </w:rPr>
        <w:tab/>
      </w:r>
      <w:proofErr w:type="gramStart"/>
      <w:r>
        <w:rPr>
          <w:rFonts w:eastAsia="Arial"/>
          <w:color w:val="000000"/>
        </w:rPr>
        <w:t>a</w:t>
      </w:r>
      <w:proofErr w:type="gramEnd"/>
      <w:r>
        <w:rPr>
          <w:rFonts w:eastAsia="Arial"/>
          <w:color w:val="000000"/>
        </w:rPr>
        <w:t xml:space="preserve"> person who is a member of a related group that controls the corporation, or</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 xml:space="preserve">      (iii)</w:t>
      </w:r>
      <w:r>
        <w:rPr>
          <w:rFonts w:eastAsia="Arial"/>
          <w:color w:val="000000"/>
        </w:rPr>
        <w:tab/>
      </w:r>
      <w:proofErr w:type="gramStart"/>
      <w:r>
        <w:rPr>
          <w:rFonts w:eastAsia="Arial"/>
          <w:color w:val="000000"/>
        </w:rPr>
        <w:t>any</w:t>
      </w:r>
      <w:proofErr w:type="gramEnd"/>
      <w:r>
        <w:rPr>
          <w:rFonts w:eastAsia="Arial"/>
          <w:color w:val="000000"/>
        </w:rPr>
        <w:t xml:space="preserve"> person related to a person described in subparagraph (i) or (ii); and</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rFonts w:eastAsia="Arial"/>
          <w:color w:val="000000"/>
        </w:rPr>
        <w:t xml:space="preserve"> (c)</w:t>
      </w:r>
      <w:r>
        <w:rPr>
          <w:rFonts w:eastAsia="Arial"/>
          <w:color w:val="000000"/>
        </w:rPr>
        <w:tab/>
      </w:r>
      <w:proofErr w:type="gramStart"/>
      <w:r>
        <w:rPr>
          <w:rFonts w:eastAsia="Arial"/>
          <w:color w:val="000000"/>
        </w:rPr>
        <w:t>any</w:t>
      </w:r>
      <w:proofErr w:type="gramEnd"/>
      <w:r>
        <w:rPr>
          <w:rFonts w:eastAsia="Arial"/>
          <w:color w:val="000000"/>
        </w:rPr>
        <w:t xml:space="preserve"> two corporations</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rFonts w:eastAsia="Arial"/>
          <w:color w:val="000000"/>
        </w:rPr>
        <w:t xml:space="preserve">      (i)</w:t>
      </w:r>
      <w:r>
        <w:rPr>
          <w:rFonts w:eastAsia="Arial"/>
          <w:color w:val="000000"/>
        </w:rPr>
        <w:tab/>
      </w:r>
      <w:proofErr w:type="gramStart"/>
      <w:r>
        <w:rPr>
          <w:rFonts w:eastAsia="Arial"/>
          <w:color w:val="000000"/>
        </w:rPr>
        <w:t>if</w:t>
      </w:r>
      <w:proofErr w:type="gramEnd"/>
      <w:r>
        <w:rPr>
          <w:rFonts w:eastAsia="Arial"/>
          <w:color w:val="000000"/>
        </w:rPr>
        <w:t xml:space="preserve"> they are controlled by the same person or group of persons,</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 xml:space="preserve">      (ii)</w:t>
      </w:r>
      <w:r>
        <w:rPr>
          <w:rFonts w:eastAsia="Arial"/>
          <w:color w:val="000000"/>
        </w:rPr>
        <w:tab/>
      </w:r>
      <w:proofErr w:type="gramStart"/>
      <w:r>
        <w:rPr>
          <w:rFonts w:eastAsia="Arial"/>
          <w:color w:val="000000"/>
        </w:rPr>
        <w:t>if</w:t>
      </w:r>
      <w:proofErr w:type="gramEnd"/>
      <w:r>
        <w:rPr>
          <w:rFonts w:eastAsia="Arial"/>
          <w:color w:val="000000"/>
        </w:rPr>
        <w:t xml:space="preserve"> each of the corporations is controlled by one person and the person who controls one of the corporations is related to the person who controls the other corporation,</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 xml:space="preserve">     (iii)</w:t>
      </w:r>
      <w:r>
        <w:rPr>
          <w:rFonts w:eastAsia="Arial"/>
          <w:color w:val="000000"/>
        </w:rPr>
        <w:tab/>
      </w:r>
      <w:proofErr w:type="gramStart"/>
      <w:r>
        <w:rPr>
          <w:rFonts w:eastAsia="Arial"/>
          <w:color w:val="000000"/>
        </w:rPr>
        <w:t>if</w:t>
      </w:r>
      <w:proofErr w:type="gramEnd"/>
      <w:r>
        <w:rPr>
          <w:rFonts w:eastAsia="Arial"/>
          <w:color w:val="000000"/>
        </w:rPr>
        <w:t xml:space="preserve"> one of the corporations is controlled by one person and that person is  related to any member of a related group that controls the other corporation,</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hanging="540"/>
        <w:jc w:val="both"/>
        <w:rPr>
          <w:rFonts w:eastAsia="Arial"/>
          <w:color w:val="000000"/>
        </w:rPr>
      </w:pPr>
      <w:r>
        <w:rPr>
          <w:rFonts w:eastAsia="Arial"/>
          <w:color w:val="000000"/>
        </w:rPr>
        <w:t xml:space="preserve">  (iv)</w:t>
      </w:r>
      <w:r>
        <w:rPr>
          <w:rFonts w:eastAsia="Arial"/>
          <w:color w:val="000000"/>
        </w:rPr>
        <w:tab/>
      </w:r>
      <w:proofErr w:type="gramStart"/>
      <w:r>
        <w:rPr>
          <w:rFonts w:eastAsia="Arial"/>
          <w:color w:val="000000"/>
        </w:rPr>
        <w:t>if</w:t>
      </w:r>
      <w:proofErr w:type="gramEnd"/>
      <w:r>
        <w:rPr>
          <w:rFonts w:eastAsia="Arial"/>
          <w:color w:val="000000"/>
        </w:rPr>
        <w:t xml:space="preserve"> one of the corporations is controlled by one person and that person is related to each member of an unrelated group that controls the other corporation,</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hanging="540"/>
        <w:jc w:val="both"/>
        <w:rPr>
          <w:rFonts w:eastAsia="Arial"/>
          <w:color w:val="000000"/>
        </w:rPr>
      </w:pPr>
      <w:r>
        <w:rPr>
          <w:rFonts w:eastAsia="Arial"/>
          <w:color w:val="000000"/>
        </w:rPr>
        <w:t xml:space="preserve"> (v)  if any member of a related group that controls one of the corporations is related to each member of an unrelated group that controls the other corporation, or</w:t>
      </w:r>
    </w:p>
    <w:p w:rsidR="00EC74B3" w:rsidRDefault="00EC74B3">
      <w:pPr>
        <w:tabs>
          <w:tab w:val="left" w:pos="0"/>
          <w:tab w:val="left" w:pos="540"/>
          <w:tab w:val="left" w:pos="720"/>
          <w:tab w:val="left" w:pos="810"/>
          <w:tab w:val="left" w:pos="1080"/>
          <w:tab w:val="left" w:pos="1440"/>
          <w:tab w:val="left" w:pos="1800"/>
          <w:tab w:val="left" w:pos="2160"/>
          <w:tab w:val="left" w:pos="2448"/>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hanging="540"/>
        <w:jc w:val="both"/>
        <w:rPr>
          <w:rFonts w:eastAsia="Arial"/>
          <w:color w:val="000000"/>
        </w:rPr>
      </w:pPr>
      <w:r>
        <w:rPr>
          <w:rFonts w:eastAsia="Arial"/>
          <w:color w:val="000000"/>
        </w:rPr>
        <w:t>(vi)</w:t>
      </w:r>
      <w:r>
        <w:rPr>
          <w:rFonts w:eastAsia="Arial"/>
          <w:color w:val="000000"/>
        </w:rPr>
        <w:tab/>
      </w:r>
      <w:proofErr w:type="gramStart"/>
      <w:r>
        <w:rPr>
          <w:rFonts w:eastAsia="Arial"/>
          <w:color w:val="000000"/>
        </w:rPr>
        <w:t>if</w:t>
      </w:r>
      <w:proofErr w:type="gramEnd"/>
      <w:r>
        <w:rPr>
          <w:rFonts w:eastAsia="Arial"/>
          <w:color w:val="000000"/>
        </w:rPr>
        <w:t xml:space="preserve"> each member of an unrelated group that controls one of the corporations  is related to at least one member of an unrelated group that controls the other corporation.</w:t>
      </w:r>
    </w:p>
    <w:p w:rsidR="00EC74B3" w:rsidRDefault="00EC74B3">
      <w:pPr>
        <w:pStyle w:val="BodyText3"/>
        <w:spacing w:line="360" w:lineRule="auto"/>
        <w:rPr>
          <w:rFonts w:ascii="Times New Roman" w:hAnsi="Times New Roman" w:cs="Times New Roman"/>
          <w:lang w:val="en-GB"/>
        </w:rPr>
      </w:pPr>
      <w:r>
        <w:rPr>
          <w:rFonts w:ascii="Times New Roman" w:hAnsi="Times New Roman" w:cs="Times New Roman"/>
          <w:b/>
          <w:bCs/>
          <w:lang w:val="en-GB"/>
        </w:rPr>
        <w:lastRenderedPageBreak/>
        <w:t xml:space="preserve">4.3.9 </w:t>
      </w:r>
      <w:r>
        <w:rPr>
          <w:rFonts w:ascii="Times New Roman" w:hAnsi="Times New Roman" w:cs="Times New Roman"/>
          <w:lang w:val="en-GB"/>
        </w:rPr>
        <w:t xml:space="preserve">As per the German Law, persons are deemed to be related if one of the following criteria is met:    </w:t>
      </w:r>
    </w:p>
    <w:p w:rsidR="00EC74B3" w:rsidRDefault="00EC74B3" w:rsidP="005077F7">
      <w:pPr>
        <w:numPr>
          <w:ilvl w:val="0"/>
          <w:numId w:val="4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eastAsia="Arial"/>
        </w:rPr>
      </w:pPr>
      <w:r>
        <w:rPr>
          <w:rFonts w:eastAsia="Arial"/>
        </w:rPr>
        <w:t>if such person, directly or indirectly, holds a participation equal to or in excess of one fourth of the taxpayer's capital ("substantial participation"), or if such person is able to exercise a controlling influence, directly or indirectly, on the taxpayer, or, vice versa, if the taxpayer holds a substantial participation in such person's capital or is able to exercise a controlling influence, directly or indirectly, on such person; or</w:t>
      </w:r>
    </w:p>
    <w:p w:rsidR="00EC74B3" w:rsidRDefault="00EC74B3" w:rsidP="005077F7">
      <w:pPr>
        <w:numPr>
          <w:ilvl w:val="0"/>
          <w:numId w:val="4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eastAsia="Arial"/>
        </w:rPr>
      </w:pPr>
      <w:r>
        <w:rPr>
          <w:rFonts w:eastAsia="Arial"/>
        </w:rPr>
        <w:t>if a third person holds a substantial participation both in such person's and the taxpayer's capital or is able to exercise a controlling influence, directly or indirectly, on both of them; or</w:t>
      </w:r>
    </w:p>
    <w:p w:rsidR="00EC74B3" w:rsidRDefault="00EC74B3" w:rsidP="005077F7">
      <w:pPr>
        <w:numPr>
          <w:ilvl w:val="0"/>
          <w:numId w:val="4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eastAsia="Arial"/>
        </w:rPr>
      </w:pPr>
      <w:proofErr w:type="gramStart"/>
      <w:r>
        <w:rPr>
          <w:rFonts w:eastAsia="Arial"/>
        </w:rPr>
        <w:t>if</w:t>
      </w:r>
      <w:proofErr w:type="gramEnd"/>
      <w:r>
        <w:rPr>
          <w:rFonts w:eastAsia="Arial"/>
        </w:rPr>
        <w:t xml:space="preserve"> such person or the taxpayer, in reaching agreement on the conditions of a business transaction, is able to exercise influence through channels outside such transaction, or if one of them has an interest of his own that the income accrue to the other party.</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eastAsia="Arial"/>
          <w:color w:val="000000"/>
        </w:rPr>
      </w:pPr>
      <w:r>
        <w:rPr>
          <w:rFonts w:eastAsia="Arial"/>
          <w:b/>
          <w:bCs/>
          <w:color w:val="000000"/>
        </w:rPr>
        <w:t xml:space="preserve">4.3.10 </w:t>
      </w:r>
      <w:r>
        <w:rPr>
          <w:rFonts w:eastAsia="Arial"/>
          <w:color w:val="000000"/>
        </w:rPr>
        <w:t xml:space="preserve">As per Chinese law the term “Associated Enterprise” is defined to mean an Enterprise that </w:t>
      </w:r>
      <w:proofErr w:type="gramStart"/>
      <w:r>
        <w:rPr>
          <w:rFonts w:eastAsia="Arial"/>
          <w:color w:val="000000"/>
        </w:rPr>
        <w:t>has  any</w:t>
      </w:r>
      <w:proofErr w:type="gramEnd"/>
      <w:r>
        <w:rPr>
          <w:rFonts w:eastAsia="Arial"/>
          <w:color w:val="000000"/>
        </w:rPr>
        <w:t xml:space="preserve"> of the following relationships with another enterprise </w:t>
      </w:r>
    </w:p>
    <w:p w:rsidR="00EC74B3" w:rsidRDefault="00EC74B3" w:rsidP="005077F7">
      <w:pPr>
        <w:pStyle w:val="BodyTextIndent3"/>
        <w:numPr>
          <w:ilvl w:val="0"/>
          <w:numId w:val="5"/>
        </w:numPr>
        <w:spacing w:line="360" w:lineRule="auto"/>
        <w:ind w:left="360"/>
        <w:rPr>
          <w:rFonts w:ascii="Times New Roman" w:hAnsi="Times New Roman" w:cs="Times New Roman"/>
          <w:lang w:val="en-GB"/>
        </w:rPr>
      </w:pPr>
      <w:proofErr w:type="gramStart"/>
      <w:r>
        <w:rPr>
          <w:rFonts w:ascii="Times New Roman" w:hAnsi="Times New Roman" w:cs="Times New Roman"/>
          <w:lang w:val="en-GB"/>
        </w:rPr>
        <w:t>direct</w:t>
      </w:r>
      <w:proofErr w:type="gramEnd"/>
      <w:r>
        <w:rPr>
          <w:rFonts w:ascii="Times New Roman" w:hAnsi="Times New Roman" w:cs="Times New Roman"/>
          <w:lang w:val="en-GB"/>
        </w:rPr>
        <w:t xml:space="preserve"> or indirect ownership of , or control over, such matters as   finances, business operation or purchase or sales.</w:t>
      </w:r>
    </w:p>
    <w:p w:rsidR="00EC74B3" w:rsidRDefault="00EC74B3" w:rsidP="005077F7">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60"/>
        <w:jc w:val="both"/>
        <w:rPr>
          <w:rFonts w:eastAsia="Arial"/>
          <w:color w:val="000000"/>
        </w:rPr>
      </w:pPr>
      <w:r>
        <w:rPr>
          <w:rFonts w:eastAsia="Arial"/>
          <w:color w:val="000000"/>
        </w:rPr>
        <w:t>direct or indirect ownership or control of both entities by a third party, or</w:t>
      </w:r>
    </w:p>
    <w:p w:rsidR="00EC74B3" w:rsidRDefault="00EC74B3" w:rsidP="005077F7">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60"/>
        <w:jc w:val="both"/>
        <w:rPr>
          <w:rFonts w:eastAsia="Arial"/>
          <w:color w:val="000000"/>
        </w:rPr>
      </w:pPr>
      <w:proofErr w:type="gramStart"/>
      <w:r>
        <w:rPr>
          <w:rFonts w:eastAsia="Arial"/>
          <w:color w:val="000000"/>
        </w:rPr>
        <w:t>any</w:t>
      </w:r>
      <w:proofErr w:type="gramEnd"/>
      <w:r>
        <w:rPr>
          <w:rFonts w:eastAsia="Arial"/>
          <w:color w:val="000000"/>
        </w:rPr>
        <w:t xml:space="preserve"> other relationship arising from mutual interest.</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eastAsia="Arial"/>
          <w:color w:val="000000"/>
        </w:rPr>
      </w:pPr>
      <w:r>
        <w:rPr>
          <w:rFonts w:eastAsia="Arial"/>
          <w:color w:val="000000"/>
        </w:rPr>
        <w:t>The 1998 Transfer Pricing circular provides a broad range of criteria for determining what constitutes a "related/</w:t>
      </w:r>
      <w:proofErr w:type="gramStart"/>
      <w:r>
        <w:rPr>
          <w:rFonts w:eastAsia="Arial"/>
          <w:color w:val="000000"/>
        </w:rPr>
        <w:t>Associated "</w:t>
      </w:r>
      <w:proofErr w:type="gramEnd"/>
      <w:r>
        <w:rPr>
          <w:rFonts w:eastAsia="Arial"/>
          <w:color w:val="000000"/>
        </w:rPr>
        <w:t xml:space="preserve"> enterprise for tax purposes.</w:t>
      </w:r>
      <w:r>
        <w:rPr>
          <w:rFonts w:eastAsia="Arial"/>
          <w:color w:val="0000FF"/>
        </w:rPr>
        <w:t xml:space="preserve"> </w:t>
      </w:r>
      <w:r>
        <w:rPr>
          <w:rFonts w:eastAsia="Arial"/>
          <w:color w:val="000000"/>
        </w:rPr>
        <w:t xml:space="preserve"> Two enterprises will be deemed to be "related" for tax purposes if:</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rFonts w:eastAsia="Arial"/>
          <w:color w:val="000000"/>
        </w:rPr>
      </w:pPr>
      <w:r>
        <w:rPr>
          <w:rFonts w:eastAsia="Arial"/>
          <w:color w:val="000000"/>
        </w:rPr>
        <w:t>-</w:t>
      </w:r>
      <w:r>
        <w:rPr>
          <w:rFonts w:eastAsia="Arial"/>
          <w:color w:val="000000"/>
        </w:rPr>
        <w:tab/>
        <w:t>25 per cent of the total share capital of one enterprise is held directly or indirectly by the other;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w:t>
      </w:r>
      <w:r>
        <w:rPr>
          <w:rFonts w:eastAsia="Arial"/>
          <w:color w:val="000000"/>
        </w:rPr>
        <w:tab/>
        <w:t>25 per cent of the total share capital of both enterprises is held directly or indirectly by a third party;</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w:t>
      </w:r>
      <w:r>
        <w:rPr>
          <w:rFonts w:eastAsia="Arial"/>
          <w:color w:val="000000"/>
        </w:rPr>
        <w:tab/>
        <w:t xml:space="preserve">a loan granted by one enterprise to the other constitutes 50 per cent of the total assets of that other enterprise; or one enterprise guarantees 10 per cent of the total debts of the other enterprise; </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lastRenderedPageBreak/>
        <w:t>-</w:t>
      </w:r>
      <w:r>
        <w:rPr>
          <w:rFonts w:eastAsia="Arial"/>
          <w:color w:val="000000"/>
        </w:rPr>
        <w:tab/>
      </w:r>
      <w:proofErr w:type="gramStart"/>
      <w:r>
        <w:rPr>
          <w:rFonts w:eastAsia="Arial"/>
          <w:color w:val="000000"/>
        </w:rPr>
        <w:t>more</w:t>
      </w:r>
      <w:proofErr w:type="gramEnd"/>
      <w:r>
        <w:rPr>
          <w:rFonts w:eastAsia="Arial"/>
          <w:color w:val="000000"/>
        </w:rPr>
        <w:t xml:space="preserve"> than half of the board members or directors of one enterprise are appointed by the other enterprise, or one executive board member is appointed by the other enterprise;</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w:t>
      </w:r>
      <w:r>
        <w:rPr>
          <w:rFonts w:eastAsia="Arial"/>
          <w:color w:val="000000"/>
        </w:rPr>
        <w:tab/>
      </w:r>
      <w:proofErr w:type="gramStart"/>
      <w:r>
        <w:rPr>
          <w:rFonts w:eastAsia="Arial"/>
          <w:color w:val="000000"/>
        </w:rPr>
        <w:t>the</w:t>
      </w:r>
      <w:proofErr w:type="gramEnd"/>
      <w:r>
        <w:rPr>
          <w:rFonts w:eastAsia="Arial"/>
          <w:color w:val="000000"/>
        </w:rPr>
        <w:t xml:space="preserve"> production of one enterprise is only possible if the intellectual property of the other enterprise is used;</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w:t>
      </w:r>
      <w:r>
        <w:rPr>
          <w:rFonts w:eastAsia="Arial"/>
          <w:color w:val="000000"/>
        </w:rPr>
        <w:tab/>
      </w:r>
      <w:proofErr w:type="gramStart"/>
      <w:r>
        <w:rPr>
          <w:rFonts w:eastAsia="Arial"/>
          <w:color w:val="000000"/>
        </w:rPr>
        <w:t>raw</w:t>
      </w:r>
      <w:proofErr w:type="gramEnd"/>
      <w:r>
        <w:rPr>
          <w:rFonts w:eastAsia="Arial"/>
          <w:color w:val="000000"/>
        </w:rPr>
        <w:t xml:space="preserve"> materials and spare parts necessary for production are supplied or controlled by the other enterprise (including prices and trade conditions);</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w:t>
      </w:r>
      <w:r>
        <w:rPr>
          <w:rFonts w:eastAsia="Arial"/>
          <w:color w:val="000000"/>
        </w:rPr>
        <w:tab/>
      </w:r>
      <w:proofErr w:type="gramStart"/>
      <w:r>
        <w:rPr>
          <w:rFonts w:eastAsia="Arial"/>
          <w:color w:val="000000"/>
        </w:rPr>
        <w:t>the</w:t>
      </w:r>
      <w:proofErr w:type="gramEnd"/>
      <w:r>
        <w:rPr>
          <w:rFonts w:eastAsia="Arial"/>
          <w:color w:val="000000"/>
        </w:rPr>
        <w:t xml:space="preserve"> sale of products (including prices and trade conditions) is controlled by the other enterprise;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w:t>
      </w:r>
      <w:r>
        <w:rPr>
          <w:rFonts w:eastAsia="Arial"/>
          <w:color w:val="000000"/>
        </w:rPr>
        <w:tab/>
      </w:r>
      <w:proofErr w:type="gramStart"/>
      <w:r>
        <w:rPr>
          <w:rFonts w:eastAsia="Arial"/>
          <w:color w:val="000000"/>
        </w:rPr>
        <w:t>there</w:t>
      </w:r>
      <w:proofErr w:type="gramEnd"/>
      <w:r>
        <w:rPr>
          <w:rFonts w:eastAsia="Arial"/>
          <w:color w:val="000000"/>
        </w:rPr>
        <w:t xml:space="preserve"> is indirect but actual control over production and trade based on other related interests (e.g. family ties).</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rFonts w:eastAsia="Arial"/>
          <w:color w:val="000000"/>
        </w:rPr>
        <w:t>It is relevant to state that under Chinese Law, the shareholding pattern</w:t>
      </w:r>
      <w:proofErr w:type="gramStart"/>
      <w:r>
        <w:rPr>
          <w:rFonts w:eastAsia="Arial"/>
          <w:color w:val="000000"/>
        </w:rPr>
        <w:t>,  creditor</w:t>
      </w:r>
      <w:proofErr w:type="gramEnd"/>
      <w:r>
        <w:rPr>
          <w:rFonts w:eastAsia="Arial"/>
          <w:color w:val="000000"/>
        </w:rPr>
        <w:t xml:space="preserve"> relationships, management and control over the sale or supply of raw materials and family relationships can cause two parties to be related for tax purposes even if the enterprises are not legally "related". The substance of the relationship is more determinative for these purposes than the form (e.g. legal documents). Tax officials are required to use these criteria to determine whether the enterprises are related for tax purposes.</w:t>
      </w:r>
    </w:p>
    <w:p w:rsidR="00EC74B3" w:rsidRDefault="00EC74B3">
      <w:pPr>
        <w:pStyle w:val="Heading8"/>
        <w:numPr>
          <w:ilvl w:val="0"/>
          <w:numId w:val="0"/>
        </w:numPr>
        <w:rPr>
          <w:rFonts w:ascii="Times New Roman" w:hAnsi="Times New Roman"/>
          <w:b w:val="0"/>
          <w:sz w:val="24"/>
          <w:lang w:val="en-GB"/>
        </w:rPr>
      </w:pPr>
    </w:p>
    <w:p w:rsidR="00EC74B3" w:rsidRDefault="00EC74B3">
      <w:pPr>
        <w:pStyle w:val="Heading8"/>
        <w:numPr>
          <w:ilvl w:val="0"/>
          <w:numId w:val="0"/>
        </w:numPr>
        <w:rPr>
          <w:lang w:val="en-GB"/>
        </w:rPr>
      </w:pPr>
      <w:r>
        <w:rPr>
          <w:rFonts w:ascii="Times New Roman" w:hAnsi="Times New Roman"/>
          <w:bCs/>
          <w:sz w:val="24"/>
          <w:lang w:val="en-GB"/>
        </w:rPr>
        <w:t xml:space="preserve">4.3.11 </w:t>
      </w:r>
      <w:r>
        <w:rPr>
          <w:rFonts w:ascii="Times New Roman" w:hAnsi="Times New Roman"/>
          <w:b w:val="0"/>
          <w:sz w:val="24"/>
          <w:lang w:val="en-GB"/>
        </w:rPr>
        <w:t xml:space="preserve">In South Korea, separate </w:t>
      </w:r>
      <w:proofErr w:type="gramStart"/>
      <w:r>
        <w:rPr>
          <w:rFonts w:ascii="Times New Roman" w:hAnsi="Times New Roman"/>
          <w:b w:val="0"/>
          <w:sz w:val="24"/>
          <w:lang w:val="en-GB"/>
        </w:rPr>
        <w:t>regulation  exists</w:t>
      </w:r>
      <w:proofErr w:type="gramEnd"/>
      <w:r>
        <w:rPr>
          <w:rFonts w:ascii="Times New Roman" w:hAnsi="Times New Roman"/>
          <w:b w:val="0"/>
          <w:sz w:val="24"/>
          <w:lang w:val="en-GB"/>
        </w:rPr>
        <w:t xml:space="preserve">  for the ‘ related party’  in international and domestic transactions.  In</w:t>
      </w:r>
      <w:r>
        <w:rPr>
          <w:rFonts w:ascii="Times New Roman" w:hAnsi="Times New Roman"/>
          <w:b w:val="0"/>
          <w:bCs/>
          <w:sz w:val="24"/>
          <w:lang w:val="en-GB"/>
        </w:rPr>
        <w:t xml:space="preserve"> international transaction, a special relationship for Korean tax purposes arises in the following situations:</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40" w:hanging="1440"/>
        <w:jc w:val="both"/>
        <w:rPr>
          <w:rFonts w:eastAsia="Arial"/>
          <w:color w:val="000000"/>
        </w:rPr>
      </w:pPr>
      <w:r>
        <w:rPr>
          <w:rFonts w:eastAsia="Arial"/>
          <w:color w:val="000000"/>
        </w:rPr>
        <w:t>(a)</w:t>
      </w:r>
      <w:r>
        <w:rPr>
          <w:rFonts w:eastAsia="Arial"/>
          <w:color w:val="000000"/>
        </w:rPr>
        <w:tab/>
        <w:t>when a shareholder(s) resident or located in a foreign country (including an equity holder, hereafter a foreign shareholder) owns directly or indirectly 50% or more of the voting shares or equity (hereafter voting shares) of a domestic corporation or of a foreign corporation which maintains a domestic place of business;</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40" w:hanging="1440"/>
        <w:jc w:val="both"/>
        <w:rPr>
          <w:rFonts w:eastAsia="Arial"/>
          <w:color w:val="000000"/>
        </w:rPr>
      </w:pPr>
      <w:r>
        <w:rPr>
          <w:rFonts w:eastAsia="Arial"/>
          <w:color w:val="000000"/>
        </w:rPr>
        <w:t>(b)</w:t>
      </w:r>
      <w:r>
        <w:rPr>
          <w:rFonts w:eastAsia="Arial"/>
          <w:color w:val="000000"/>
        </w:rPr>
        <w:tab/>
      </w:r>
      <w:proofErr w:type="gramStart"/>
      <w:r>
        <w:rPr>
          <w:rFonts w:eastAsia="Arial"/>
          <w:color w:val="000000"/>
        </w:rPr>
        <w:t>when</w:t>
      </w:r>
      <w:proofErr w:type="gramEnd"/>
      <w:r>
        <w:rPr>
          <w:rFonts w:eastAsia="Arial"/>
          <w:color w:val="000000"/>
        </w:rPr>
        <w:t xml:space="preserve"> a resident, domestic corporation or foreign corporation which maintains a domestic place of business owns directly or indirectly 50% or more of the voting shares of a foreign corporation;</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40" w:hanging="1440"/>
        <w:jc w:val="both"/>
        <w:rPr>
          <w:rFonts w:eastAsia="Arial"/>
          <w:color w:val="000000"/>
        </w:rPr>
      </w:pPr>
      <w:r>
        <w:rPr>
          <w:rFonts w:eastAsia="Arial"/>
          <w:color w:val="000000"/>
        </w:rPr>
        <w:t>(c)</w:t>
      </w:r>
      <w:r>
        <w:rPr>
          <w:rFonts w:eastAsia="Arial"/>
          <w:color w:val="000000"/>
        </w:rPr>
        <w:tab/>
        <w:t xml:space="preserve">when a domestic corporation or a domestic place of business (including a third foreign corporation's domestic place of business) directly or indirectly owns 50% or more of the voting shares of a domestic corporation or foreign corporation which maintains a </w:t>
      </w:r>
      <w:r>
        <w:rPr>
          <w:rFonts w:eastAsia="Arial"/>
          <w:color w:val="000000"/>
        </w:rPr>
        <w:lastRenderedPageBreak/>
        <w:t>domestic place of business and also owns directly or indirectly 50% or more of the voting shares of the third foreign corporation; or</w:t>
      </w:r>
    </w:p>
    <w:p w:rsidR="00EC74B3" w:rsidRDefault="00EC74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40" w:hanging="1440"/>
        <w:jc w:val="both"/>
        <w:rPr>
          <w:rFonts w:eastAsia="Arial"/>
          <w:color w:val="000000"/>
        </w:rPr>
      </w:pPr>
      <w:r>
        <w:rPr>
          <w:rFonts w:eastAsia="Arial"/>
          <w:color w:val="000000"/>
        </w:rPr>
        <w:t>(d)</w:t>
      </w:r>
      <w:r>
        <w:rPr>
          <w:rFonts w:eastAsia="Arial"/>
          <w:color w:val="000000"/>
        </w:rPr>
        <w:tab/>
      </w:r>
      <w:proofErr w:type="gramStart"/>
      <w:r>
        <w:rPr>
          <w:rFonts w:eastAsia="Arial"/>
          <w:color w:val="000000"/>
        </w:rPr>
        <w:t>when</w:t>
      </w:r>
      <w:proofErr w:type="gramEnd"/>
      <w:r>
        <w:rPr>
          <w:rFonts w:eastAsia="Arial"/>
          <w:color w:val="000000"/>
        </w:rPr>
        <w:t xml:space="preserve"> a party to a transaction can in substance determine all or part of the business policy of the other party in one of the following ways:</w:t>
      </w:r>
    </w:p>
    <w:p w:rsidR="00EC74B3" w:rsidRDefault="00EC74B3">
      <w:pPr>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728" w:hanging="1728"/>
        <w:jc w:val="both"/>
        <w:rPr>
          <w:rFonts w:eastAsia="Arial"/>
          <w:color w:val="000000"/>
        </w:rPr>
      </w:pPr>
      <w:r>
        <w:rPr>
          <w:rFonts w:eastAsia="Arial"/>
          <w:color w:val="000000"/>
        </w:rPr>
        <w:tab/>
        <w:t>(i)</w:t>
      </w:r>
      <w:r>
        <w:rPr>
          <w:rFonts w:eastAsia="Arial"/>
          <w:color w:val="000000"/>
        </w:rPr>
        <w:tab/>
      </w:r>
      <w:proofErr w:type="gramStart"/>
      <w:r>
        <w:rPr>
          <w:rFonts w:eastAsia="Arial"/>
          <w:color w:val="000000"/>
        </w:rPr>
        <w:t>when</w:t>
      </w:r>
      <w:proofErr w:type="gramEnd"/>
      <w:r>
        <w:rPr>
          <w:rFonts w:eastAsia="Arial"/>
          <w:color w:val="000000"/>
        </w:rPr>
        <w:t xml:space="preserve"> the chief executive officer or a majority of the officers of a corporation are concurrently officers or employees of the other corporation;</w:t>
      </w:r>
    </w:p>
    <w:p w:rsidR="00EC74B3" w:rsidRDefault="00EC74B3">
      <w:pPr>
        <w:tabs>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728"/>
        <w:jc w:val="both"/>
        <w:rPr>
          <w:rFonts w:eastAsia="Arial"/>
          <w:color w:val="000000"/>
        </w:rPr>
      </w:pPr>
      <w:r>
        <w:rPr>
          <w:rFonts w:eastAsia="Arial"/>
          <w:color w:val="000000"/>
        </w:rPr>
        <w:tab/>
        <w:t>(ii)</w:t>
      </w:r>
      <w:r>
        <w:rPr>
          <w:rFonts w:eastAsia="Arial"/>
          <w:color w:val="000000"/>
        </w:rPr>
        <w:tab/>
      </w:r>
      <w:proofErr w:type="gramStart"/>
      <w:r>
        <w:rPr>
          <w:rFonts w:eastAsia="Arial"/>
          <w:color w:val="000000"/>
        </w:rPr>
        <w:t>when</w:t>
      </w:r>
      <w:proofErr w:type="gramEnd"/>
      <w:r>
        <w:rPr>
          <w:rFonts w:eastAsia="Arial"/>
          <w:color w:val="000000"/>
        </w:rPr>
        <w:t xml:space="preserve"> one party owns 50% or more of the voting shares of the other party through an association or trust;</w:t>
      </w:r>
    </w:p>
    <w:p w:rsidR="00EC74B3" w:rsidRDefault="00EC74B3">
      <w:pPr>
        <w:tabs>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728"/>
        <w:jc w:val="both"/>
        <w:rPr>
          <w:rFonts w:eastAsia="Arial"/>
          <w:color w:val="000000"/>
        </w:rPr>
      </w:pPr>
      <w:r>
        <w:rPr>
          <w:rFonts w:eastAsia="Arial"/>
          <w:color w:val="000000"/>
        </w:rPr>
        <w:tab/>
        <w:t>(iii)</w:t>
      </w:r>
      <w:r>
        <w:rPr>
          <w:rFonts w:eastAsia="Arial"/>
          <w:color w:val="000000"/>
        </w:rPr>
        <w:tab/>
      </w:r>
      <w:proofErr w:type="gramStart"/>
      <w:r>
        <w:rPr>
          <w:rFonts w:eastAsia="Arial"/>
          <w:color w:val="000000"/>
        </w:rPr>
        <w:t>when</w:t>
      </w:r>
      <w:proofErr w:type="gramEnd"/>
      <w:r>
        <w:rPr>
          <w:rFonts w:eastAsia="Arial"/>
          <w:color w:val="000000"/>
        </w:rPr>
        <w:t xml:space="preserve"> one party depends on the other party for most of its business;</w:t>
      </w:r>
    </w:p>
    <w:p w:rsidR="00EC74B3" w:rsidRDefault="00EC74B3">
      <w:pPr>
        <w:tabs>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728"/>
        <w:jc w:val="both"/>
        <w:rPr>
          <w:rFonts w:eastAsia="Arial"/>
          <w:color w:val="000000"/>
        </w:rPr>
      </w:pPr>
      <w:r>
        <w:rPr>
          <w:rFonts w:eastAsia="Arial"/>
          <w:color w:val="000000"/>
        </w:rPr>
        <w:tab/>
        <w:t>(iv)</w:t>
      </w:r>
      <w:r>
        <w:rPr>
          <w:rFonts w:eastAsia="Arial"/>
          <w:color w:val="000000"/>
        </w:rPr>
        <w:tab/>
      </w:r>
      <w:proofErr w:type="gramStart"/>
      <w:r>
        <w:rPr>
          <w:rFonts w:eastAsia="Arial"/>
          <w:color w:val="000000"/>
        </w:rPr>
        <w:t>when</w:t>
      </w:r>
      <w:proofErr w:type="gramEnd"/>
      <w:r>
        <w:rPr>
          <w:rFonts w:eastAsia="Arial"/>
          <w:color w:val="000000"/>
        </w:rPr>
        <w:t xml:space="preserve"> one party borrows most of the funds necessary for its business from another party or by using the other party's guarantee; or</w:t>
      </w:r>
    </w:p>
    <w:p w:rsidR="00EC74B3" w:rsidRDefault="00EC74B3">
      <w:pPr>
        <w:tabs>
          <w:tab w:val="left" w:pos="0"/>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728"/>
        <w:jc w:val="both"/>
        <w:rPr>
          <w:rFonts w:eastAsia="Arial"/>
          <w:color w:val="000000"/>
        </w:rPr>
      </w:pPr>
      <w:r>
        <w:rPr>
          <w:rFonts w:eastAsia="Arial"/>
          <w:color w:val="000000"/>
        </w:rPr>
        <w:tab/>
        <w:t>(v)</w:t>
      </w:r>
      <w:r>
        <w:rPr>
          <w:rFonts w:eastAsia="Arial"/>
          <w:color w:val="000000"/>
        </w:rPr>
        <w:tab/>
      </w:r>
      <w:proofErr w:type="gramStart"/>
      <w:r>
        <w:rPr>
          <w:rFonts w:eastAsia="Arial"/>
          <w:color w:val="000000"/>
        </w:rPr>
        <w:t>when</w:t>
      </w:r>
      <w:proofErr w:type="gramEnd"/>
      <w:r>
        <w:rPr>
          <w:rFonts w:eastAsia="Arial"/>
          <w:color w:val="000000"/>
        </w:rPr>
        <w:t xml:space="preserve"> one party does business relying mainly on intangible property provided by the other party.</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eastAsia="Arial"/>
          <w:color w:val="000000"/>
        </w:rPr>
      </w:pPr>
      <w:r>
        <w:rPr>
          <w:rFonts w:eastAsia="Arial"/>
          <w:color w:val="000000"/>
        </w:rPr>
        <w:t>Korea also  has a special provision which applies when a company not related to a Korean entity is interposed between the Korean entity and its foreign related party to circumvent otherwise applicable Korean transfer pricing rules. The provision states that transactions between the corporation in question (the Subject Corporation) and a non-related party will be deemed subject to the transfer pricing rules if:</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(a)</w:t>
      </w:r>
      <w:r>
        <w:rPr>
          <w:rFonts w:eastAsia="Arial"/>
          <w:color w:val="000000"/>
        </w:rPr>
        <w:tab/>
      </w:r>
      <w:proofErr w:type="gramStart"/>
      <w:r>
        <w:rPr>
          <w:rFonts w:eastAsia="Arial"/>
          <w:color w:val="000000"/>
        </w:rPr>
        <w:t>there</w:t>
      </w:r>
      <w:proofErr w:type="gramEnd"/>
      <w:r>
        <w:rPr>
          <w:rFonts w:eastAsia="Arial"/>
          <w:color w:val="000000"/>
        </w:rPr>
        <w:t xml:space="preserve"> is a prior agreement on the transaction between the resident and the foreign related party; and</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(b)</w:t>
      </w:r>
      <w:r>
        <w:rPr>
          <w:rFonts w:eastAsia="Arial"/>
          <w:color w:val="000000"/>
        </w:rPr>
        <w:tab/>
      </w:r>
      <w:proofErr w:type="gramStart"/>
      <w:r>
        <w:rPr>
          <w:rFonts w:eastAsia="Arial"/>
          <w:color w:val="000000"/>
        </w:rPr>
        <w:t>the</w:t>
      </w:r>
      <w:proofErr w:type="gramEnd"/>
      <w:r>
        <w:rPr>
          <w:rFonts w:eastAsia="Arial"/>
          <w:color w:val="000000"/>
        </w:rPr>
        <w:t xml:space="preserve"> terms of the transaction are determined in substance between the resident and the foreign related party.</w:t>
      </w:r>
    </w:p>
    <w:p w:rsidR="00EC74B3" w:rsidRDefault="00EC74B3">
      <w:pPr>
        <w:autoSpaceDE w:val="0"/>
        <w:autoSpaceDN w:val="0"/>
        <w:adjustRightInd w:val="0"/>
        <w:spacing w:line="360" w:lineRule="auto"/>
        <w:jc w:val="both"/>
      </w:pPr>
    </w:p>
    <w:p w:rsidR="00EC74B3" w:rsidRDefault="00EC74B3">
      <w:pPr>
        <w:autoSpaceDE w:val="0"/>
        <w:autoSpaceDN w:val="0"/>
        <w:adjustRightInd w:val="0"/>
        <w:spacing w:line="360" w:lineRule="auto"/>
        <w:jc w:val="both"/>
      </w:pPr>
      <w:r>
        <w:rPr>
          <w:b/>
          <w:bCs/>
        </w:rPr>
        <w:t xml:space="preserve">4.3.12 </w:t>
      </w:r>
      <w:r>
        <w:t>As per transfer pricing regulations in Mexico two or more persons are considered related parties when one participates in a direct or indirect manner in the administration, control or capital of the other, when a person or group of persons participate directly or indirectly in the administration, control or capital of such persons, or when there exists linkage under the customs laws.</w:t>
      </w:r>
    </w:p>
    <w:p w:rsidR="00EC74B3" w:rsidRDefault="00EC74B3">
      <w:pPr>
        <w:autoSpaceDE w:val="0"/>
        <w:autoSpaceDN w:val="0"/>
        <w:adjustRightInd w:val="0"/>
        <w:spacing w:line="360" w:lineRule="auto"/>
        <w:jc w:val="both"/>
      </w:pPr>
      <w:r>
        <w:t xml:space="preserve">The concept "control" is not defined in the tax system or in the general legal system and, thus, may be construed in its ordinary sense, which is quite broad. The absence of a legal definition of "control" undoubtedly leads to legal uncertainty since it is likely that taxpayers and the tax authorities have a different approach to it and thus </w:t>
      </w:r>
      <w:r>
        <w:lastRenderedPageBreak/>
        <w:t>could differ regarding the applicability - or not - of the obligation of taxpayers to observe arm's length prices and/or amounts in their transactions.</w:t>
      </w:r>
    </w:p>
    <w:p w:rsidR="00EC74B3" w:rsidRDefault="00EC74B3">
      <w:pPr>
        <w:pStyle w:val="BodyText3"/>
        <w:spacing w:line="360" w:lineRule="auto"/>
        <w:rPr>
          <w:rFonts w:ascii="Times New Roman" w:hAnsi="Times New Roman" w:cs="Times New Roman"/>
          <w:lang w:val="en-GB"/>
        </w:rPr>
      </w:pPr>
      <w:r>
        <w:rPr>
          <w:rFonts w:ascii="Times New Roman" w:hAnsi="Times New Roman" w:cs="Times New Roman"/>
          <w:lang w:val="en-GB"/>
        </w:rPr>
        <w:t>Regarding individuals additional conditions are imposed in which parties are considered to be related:</w:t>
      </w:r>
    </w:p>
    <w:p w:rsidR="00EC74B3" w:rsidRDefault="00EC74B3">
      <w:pPr>
        <w:pStyle w:val="BodyTextIndent3"/>
        <w:spacing w:line="360" w:lineRule="auto"/>
        <w:ind w:left="1440" w:hanging="1620"/>
        <w:rPr>
          <w:rFonts w:ascii="Times New Roman" w:hAnsi="Times New Roman" w:cs="Times New Roman"/>
          <w:lang w:val="en-GB"/>
        </w:rPr>
      </w:pPr>
      <w:r>
        <w:rPr>
          <w:rFonts w:ascii="Times New Roman" w:hAnsi="Times New Roman" w:cs="Times New Roman"/>
          <w:lang w:val="en-GB"/>
        </w:rPr>
        <w:tab/>
        <w:t>I.</w:t>
      </w:r>
      <w:r>
        <w:rPr>
          <w:rFonts w:ascii="Times New Roman" w:hAnsi="Times New Roman" w:cs="Times New Roman"/>
          <w:lang w:val="en-GB"/>
        </w:rPr>
        <w:tab/>
        <w:t>if one of them holds charges of direction or responsibility in one company of the other;</w:t>
      </w:r>
    </w:p>
    <w:p w:rsidR="00EC74B3" w:rsidRDefault="00EC74B3">
      <w:pPr>
        <w:autoSpaceDE w:val="0"/>
        <w:autoSpaceDN w:val="0"/>
        <w:adjustRightInd w:val="0"/>
        <w:spacing w:line="360" w:lineRule="auto"/>
        <w:jc w:val="both"/>
      </w:pPr>
      <w:r>
        <w:tab/>
        <w:t>II.</w:t>
      </w:r>
      <w:r>
        <w:tab/>
      </w:r>
      <w:proofErr w:type="gramStart"/>
      <w:r>
        <w:t>if</w:t>
      </w:r>
      <w:proofErr w:type="gramEnd"/>
      <w:r>
        <w:t xml:space="preserve"> they are legally recognized as associated in business;</w:t>
      </w:r>
    </w:p>
    <w:p w:rsidR="00EC74B3" w:rsidRDefault="00EC74B3">
      <w:pPr>
        <w:autoSpaceDE w:val="0"/>
        <w:autoSpaceDN w:val="0"/>
        <w:adjustRightInd w:val="0"/>
        <w:spacing w:line="360" w:lineRule="auto"/>
        <w:jc w:val="both"/>
      </w:pPr>
      <w:r>
        <w:tab/>
        <w:t>III.</w:t>
      </w:r>
      <w:r>
        <w:tab/>
      </w:r>
      <w:proofErr w:type="gramStart"/>
      <w:r>
        <w:t>if</w:t>
      </w:r>
      <w:proofErr w:type="gramEnd"/>
      <w:r>
        <w:t xml:space="preserve"> they have a labour relationship;</w:t>
      </w:r>
    </w:p>
    <w:p w:rsidR="00EC74B3" w:rsidRDefault="00EC74B3">
      <w:pPr>
        <w:pStyle w:val="BodyTextIndent3"/>
        <w:spacing w:line="360" w:lineRule="auto"/>
        <w:ind w:left="1440" w:hanging="1620"/>
        <w:rPr>
          <w:rFonts w:ascii="Times New Roman" w:hAnsi="Times New Roman" w:cs="Times New Roman"/>
          <w:lang w:val="en-GB"/>
        </w:rPr>
      </w:pPr>
      <w:r>
        <w:rPr>
          <w:rFonts w:ascii="Times New Roman" w:hAnsi="Times New Roman" w:cs="Times New Roman"/>
          <w:lang w:val="en-GB"/>
        </w:rPr>
        <w:tab/>
        <w:t xml:space="preserve">IV. </w:t>
      </w:r>
      <w:r>
        <w:rPr>
          <w:rFonts w:ascii="Times New Roman" w:hAnsi="Times New Roman" w:cs="Times New Roman"/>
          <w:lang w:val="en-GB"/>
        </w:rPr>
        <w:tab/>
        <w:t>if one person has directly or indirectly the ownership, control or the possession of 5% of more in the shares, participations, contributions or circulating securities, together with voting rights;</w:t>
      </w:r>
    </w:p>
    <w:p w:rsidR="00EC74B3" w:rsidRDefault="00EC74B3">
      <w:pPr>
        <w:autoSpaceDE w:val="0"/>
        <w:autoSpaceDN w:val="0"/>
        <w:adjustRightInd w:val="0"/>
        <w:spacing w:line="360" w:lineRule="auto"/>
        <w:ind w:left="720" w:hanging="720"/>
        <w:jc w:val="both"/>
      </w:pPr>
      <w:r>
        <w:tab/>
        <w:t>V.</w:t>
      </w:r>
      <w:r>
        <w:tab/>
        <w:t>if one person controls the other person directly or indirectly;</w:t>
      </w:r>
    </w:p>
    <w:p w:rsidR="00EC74B3" w:rsidRDefault="00EC74B3">
      <w:pPr>
        <w:autoSpaceDE w:val="0"/>
        <w:autoSpaceDN w:val="0"/>
        <w:adjustRightInd w:val="0"/>
        <w:spacing w:line="360" w:lineRule="auto"/>
        <w:ind w:left="720" w:hanging="720"/>
        <w:jc w:val="both"/>
      </w:pPr>
      <w:r>
        <w:tab/>
        <w:t>VI.</w:t>
      </w:r>
      <w:r>
        <w:tab/>
      </w:r>
      <w:proofErr w:type="gramStart"/>
      <w:r>
        <w:t>if</w:t>
      </w:r>
      <w:proofErr w:type="gramEnd"/>
      <w:r>
        <w:t xml:space="preserve"> both persons are controlled directly or indirectly by a third person;</w:t>
      </w:r>
    </w:p>
    <w:p w:rsidR="00EC74B3" w:rsidRDefault="00EC74B3">
      <w:pPr>
        <w:pStyle w:val="Heading6"/>
        <w:autoSpaceDE w:val="0"/>
        <w:autoSpaceDN w:val="0"/>
        <w:adjustRightInd w:val="0"/>
        <w:rPr>
          <w:sz w:val="24"/>
        </w:rPr>
      </w:pPr>
      <w:r>
        <w:rPr>
          <w:sz w:val="24"/>
        </w:rPr>
        <w:tab/>
        <w:t>VII.</w:t>
      </w:r>
      <w:r>
        <w:rPr>
          <w:sz w:val="24"/>
        </w:rPr>
        <w:tab/>
      </w:r>
      <w:proofErr w:type="gramStart"/>
      <w:r>
        <w:rPr>
          <w:sz w:val="24"/>
        </w:rPr>
        <w:t>if</w:t>
      </w:r>
      <w:proofErr w:type="gramEnd"/>
      <w:r>
        <w:rPr>
          <w:sz w:val="24"/>
        </w:rPr>
        <w:t xml:space="preserve"> both control directly or indirectly a third person; or</w:t>
      </w:r>
    </w:p>
    <w:p w:rsidR="00EC74B3" w:rsidRDefault="00EC74B3">
      <w:pPr>
        <w:autoSpaceDE w:val="0"/>
        <w:autoSpaceDN w:val="0"/>
        <w:adjustRightInd w:val="0"/>
        <w:spacing w:line="360" w:lineRule="auto"/>
        <w:jc w:val="both"/>
      </w:pPr>
      <w:r>
        <w:tab/>
        <w:t>VIII.</w:t>
      </w:r>
      <w:r>
        <w:tab/>
      </w:r>
      <w:proofErr w:type="gramStart"/>
      <w:r>
        <w:t>if</w:t>
      </w:r>
      <w:proofErr w:type="gramEnd"/>
      <w:r>
        <w:t xml:space="preserve"> they are of the same family.</w:t>
      </w:r>
    </w:p>
    <w:p w:rsidR="00EC74B3" w:rsidRDefault="00EC74B3">
      <w:pPr>
        <w:pStyle w:val="Heading6"/>
        <w:autoSpaceDE w:val="0"/>
        <w:autoSpaceDN w:val="0"/>
        <w:adjustRightInd w:val="0"/>
        <w:spacing w:line="360" w:lineRule="auto"/>
        <w:jc w:val="both"/>
        <w:rPr>
          <w:i w:val="0"/>
          <w:iCs/>
          <w:sz w:val="24"/>
        </w:rPr>
      </w:pPr>
      <w:r>
        <w:rPr>
          <w:b/>
          <w:bCs/>
          <w:i w:val="0"/>
          <w:iCs/>
          <w:sz w:val="24"/>
        </w:rPr>
        <w:t xml:space="preserve">4.3.13 </w:t>
      </w:r>
      <w:r>
        <w:rPr>
          <w:i w:val="0"/>
          <w:iCs/>
          <w:sz w:val="24"/>
        </w:rPr>
        <w:t>Section</w:t>
      </w:r>
      <w:r>
        <w:rPr>
          <w:b/>
          <w:bCs/>
          <w:i w:val="0"/>
          <w:iCs/>
          <w:sz w:val="24"/>
        </w:rPr>
        <w:t xml:space="preserve"> </w:t>
      </w:r>
      <w:r>
        <w:rPr>
          <w:i w:val="0"/>
          <w:iCs/>
          <w:sz w:val="24"/>
        </w:rPr>
        <w:t>92 of the Indian Income Tax Act 1961 discussed earlier uses the phrase ‘close connection’ however; this is not defined in the Act. A similar concept runs through the section 40 A (2) of the Act. In fact, Section 40A(2)(b) gives the list of persons to whom if any payment is made, on account of any expenditure incurred by the assesses and found excessive or unreasonable having regard to the fair market value of the goods, such excessive or unreasonable expenditure is not allowed as a deduction. Such persons are:</w:t>
      </w:r>
    </w:p>
    <w:p w:rsidR="00EC74B3" w:rsidRDefault="00EC74B3">
      <w:pPr>
        <w:tabs>
          <w:tab w:val="left" w:pos="720"/>
          <w:tab w:val="left" w:pos="3600"/>
        </w:tabs>
        <w:autoSpaceDE w:val="0"/>
        <w:autoSpaceDN w:val="0"/>
        <w:adjustRightInd w:val="0"/>
        <w:spacing w:line="360" w:lineRule="auto"/>
        <w:jc w:val="both"/>
      </w:pPr>
      <w:r>
        <w:t>Assessee</w:t>
      </w:r>
      <w:r>
        <w:tab/>
        <w:t>Associated enterprise</w:t>
      </w:r>
    </w:p>
    <w:p w:rsidR="00EC74B3" w:rsidRDefault="00EC74B3">
      <w:pPr>
        <w:tabs>
          <w:tab w:val="left" w:pos="720"/>
          <w:tab w:val="left" w:pos="3600"/>
        </w:tabs>
        <w:autoSpaceDE w:val="0"/>
        <w:autoSpaceDN w:val="0"/>
        <w:adjustRightInd w:val="0"/>
        <w:spacing w:line="360" w:lineRule="auto"/>
        <w:jc w:val="both"/>
      </w:pPr>
      <w:r>
        <w:t>_______________________________________________________________</w:t>
      </w:r>
    </w:p>
    <w:p w:rsidR="00EC74B3" w:rsidRDefault="00EC74B3">
      <w:pPr>
        <w:tabs>
          <w:tab w:val="left" w:pos="720"/>
          <w:tab w:val="left" w:pos="3600"/>
        </w:tabs>
        <w:autoSpaceDE w:val="0"/>
        <w:autoSpaceDN w:val="0"/>
        <w:adjustRightInd w:val="0"/>
        <w:spacing w:line="360" w:lineRule="auto"/>
        <w:jc w:val="both"/>
      </w:pPr>
      <w:r>
        <w:t>i.</w:t>
      </w:r>
      <w:r>
        <w:tab/>
        <w:t>Company</w:t>
      </w:r>
      <w:r>
        <w:tab/>
        <w:t>a.</w:t>
      </w:r>
      <w:r>
        <w:tab/>
        <w:t xml:space="preserve">Any director of the company; or </w:t>
      </w:r>
    </w:p>
    <w:p w:rsidR="00EC74B3" w:rsidRDefault="00EC74B3">
      <w:pPr>
        <w:tabs>
          <w:tab w:val="left" w:pos="720"/>
          <w:tab w:val="left" w:pos="3600"/>
        </w:tabs>
        <w:autoSpaceDE w:val="0"/>
        <w:autoSpaceDN w:val="0"/>
        <w:adjustRightInd w:val="0"/>
        <w:spacing w:line="360" w:lineRule="auto"/>
        <w:ind w:left="4320" w:hanging="4320"/>
        <w:jc w:val="both"/>
      </w:pPr>
      <w:r>
        <w:tab/>
      </w:r>
      <w:r>
        <w:tab/>
      </w:r>
      <w:proofErr w:type="gramStart"/>
      <w:r>
        <w:t>b</w:t>
      </w:r>
      <w:proofErr w:type="gramEnd"/>
      <w:r>
        <w:t>.</w:t>
      </w:r>
      <w:r>
        <w:tab/>
        <w:t>a relative* of a director of the company; or</w:t>
      </w:r>
    </w:p>
    <w:p w:rsidR="00EC74B3" w:rsidRDefault="00EC74B3">
      <w:pPr>
        <w:tabs>
          <w:tab w:val="left" w:pos="0"/>
          <w:tab w:val="left" w:pos="720"/>
          <w:tab w:val="left" w:pos="3600"/>
        </w:tabs>
        <w:autoSpaceDE w:val="0"/>
        <w:autoSpaceDN w:val="0"/>
        <w:adjustRightInd w:val="0"/>
        <w:spacing w:line="360" w:lineRule="auto"/>
        <w:ind w:left="4320" w:hanging="4320"/>
        <w:jc w:val="both"/>
      </w:pPr>
      <w:r>
        <w:tab/>
      </w:r>
      <w:r>
        <w:tab/>
      </w:r>
      <w:proofErr w:type="gramStart"/>
      <w:r>
        <w:t>c</w:t>
      </w:r>
      <w:proofErr w:type="gramEnd"/>
      <w:r>
        <w:t>.</w:t>
      </w:r>
      <w:r>
        <w:tab/>
        <w:t>a person or entity having a substantial interest** in the business of the company; or</w:t>
      </w:r>
    </w:p>
    <w:p w:rsidR="00EC74B3" w:rsidRDefault="00EC74B3">
      <w:pPr>
        <w:tabs>
          <w:tab w:val="left" w:pos="0"/>
          <w:tab w:val="left" w:pos="720"/>
          <w:tab w:val="left" w:pos="3600"/>
        </w:tabs>
        <w:autoSpaceDE w:val="0"/>
        <w:autoSpaceDN w:val="0"/>
        <w:adjustRightInd w:val="0"/>
        <w:spacing w:line="360" w:lineRule="auto"/>
        <w:jc w:val="both"/>
      </w:pPr>
      <w:r>
        <w:tab/>
      </w:r>
      <w:r>
        <w:tab/>
      </w:r>
      <w:proofErr w:type="gramStart"/>
      <w:r>
        <w:t>d</w:t>
      </w:r>
      <w:proofErr w:type="gramEnd"/>
      <w:r>
        <w:t>.</w:t>
      </w:r>
      <w:r>
        <w:tab/>
        <w:t>a relative of a person under (c) above.</w:t>
      </w:r>
    </w:p>
    <w:p w:rsidR="00EC74B3" w:rsidRDefault="00EC74B3">
      <w:pPr>
        <w:tabs>
          <w:tab w:val="left" w:pos="0"/>
          <w:tab w:val="left" w:pos="720"/>
          <w:tab w:val="left" w:pos="3600"/>
        </w:tabs>
        <w:autoSpaceDE w:val="0"/>
        <w:autoSpaceDN w:val="0"/>
        <w:adjustRightInd w:val="0"/>
        <w:spacing w:line="360" w:lineRule="auto"/>
        <w:ind w:left="4320" w:hanging="4320"/>
        <w:jc w:val="both"/>
      </w:pPr>
      <w:r>
        <w:lastRenderedPageBreak/>
        <w:tab/>
      </w:r>
      <w:r>
        <w:tab/>
        <w:t>e.</w:t>
      </w:r>
      <w:r>
        <w:tab/>
        <w:t>A person (or his relative) or entity having a substantial interest in the entity that has a substantial interest in the assessee.</w:t>
      </w:r>
    </w:p>
    <w:p w:rsidR="00EC74B3" w:rsidRDefault="00EC74B3">
      <w:pPr>
        <w:tabs>
          <w:tab w:val="left" w:pos="0"/>
          <w:tab w:val="left" w:pos="720"/>
          <w:tab w:val="left" w:pos="3600"/>
        </w:tabs>
        <w:autoSpaceDE w:val="0"/>
        <w:autoSpaceDN w:val="0"/>
        <w:adjustRightInd w:val="0"/>
        <w:spacing w:line="360" w:lineRule="auto"/>
        <w:ind w:left="3600" w:hanging="3600"/>
        <w:jc w:val="both"/>
      </w:pPr>
      <w:r>
        <w:t>ii.</w:t>
      </w:r>
      <w:r>
        <w:tab/>
        <w:t>Firm</w:t>
      </w:r>
      <w:r>
        <w:tab/>
        <w:t>Same as in respect of a company - reference to "director" should read as "partner" and "company" should read as "firm".</w:t>
      </w:r>
    </w:p>
    <w:p w:rsidR="00EC74B3" w:rsidRDefault="00EC74B3">
      <w:pPr>
        <w:tabs>
          <w:tab w:val="left" w:pos="0"/>
          <w:tab w:val="left" w:pos="720"/>
          <w:tab w:val="left" w:pos="3600"/>
        </w:tabs>
        <w:autoSpaceDE w:val="0"/>
        <w:autoSpaceDN w:val="0"/>
        <w:adjustRightInd w:val="0"/>
        <w:spacing w:line="360" w:lineRule="auto"/>
        <w:jc w:val="both"/>
      </w:pPr>
      <w:r>
        <w:t>iii.</w:t>
      </w:r>
      <w:r>
        <w:tab/>
        <w:t>Association</w:t>
      </w:r>
    </w:p>
    <w:p w:rsidR="00EC74B3" w:rsidRDefault="00EC74B3">
      <w:pPr>
        <w:tabs>
          <w:tab w:val="left" w:pos="0"/>
          <w:tab w:val="left" w:pos="720"/>
          <w:tab w:val="left" w:pos="3600"/>
        </w:tabs>
        <w:autoSpaceDE w:val="0"/>
        <w:autoSpaceDN w:val="0"/>
        <w:adjustRightInd w:val="0"/>
        <w:spacing w:line="360" w:lineRule="auto"/>
        <w:ind w:left="3600" w:hanging="3600"/>
        <w:jc w:val="both"/>
      </w:pPr>
      <w:r>
        <w:tab/>
      </w:r>
      <w:proofErr w:type="gramStart"/>
      <w:r>
        <w:t>of</w:t>
      </w:r>
      <w:proofErr w:type="gramEnd"/>
      <w:r>
        <w:t xml:space="preserve"> persons</w:t>
      </w:r>
      <w:r>
        <w:tab/>
        <w:t>Same as in respect of a company - reference to "director" should read as "member" and "company" should read as "association of persons".</w:t>
      </w:r>
    </w:p>
    <w:p w:rsidR="00EC74B3" w:rsidRDefault="00EC74B3">
      <w:pPr>
        <w:tabs>
          <w:tab w:val="left" w:pos="0"/>
          <w:tab w:val="left" w:pos="720"/>
          <w:tab w:val="left" w:pos="3600"/>
        </w:tabs>
        <w:autoSpaceDE w:val="0"/>
        <w:autoSpaceDN w:val="0"/>
        <w:adjustRightInd w:val="0"/>
        <w:spacing w:line="360" w:lineRule="auto"/>
        <w:jc w:val="both"/>
      </w:pPr>
      <w:r>
        <w:t>iv.</w:t>
      </w:r>
      <w:r>
        <w:tab/>
        <w:t>Individual</w:t>
      </w:r>
      <w:r>
        <w:tab/>
        <w:t>a.</w:t>
      </w:r>
      <w:r>
        <w:tab/>
      </w:r>
      <w:proofErr w:type="gramStart"/>
      <w:r>
        <w:t>Any relative of the individual.</w:t>
      </w:r>
      <w:proofErr w:type="gramEnd"/>
      <w:r>
        <w:t xml:space="preserve"> </w:t>
      </w:r>
    </w:p>
    <w:p w:rsidR="00EC74B3" w:rsidRDefault="00EC74B3">
      <w:pPr>
        <w:tabs>
          <w:tab w:val="left" w:pos="0"/>
          <w:tab w:val="left" w:pos="720"/>
          <w:tab w:val="left" w:pos="3600"/>
        </w:tabs>
        <w:autoSpaceDE w:val="0"/>
        <w:autoSpaceDN w:val="0"/>
        <w:adjustRightInd w:val="0"/>
        <w:spacing w:line="360" w:lineRule="auto"/>
        <w:ind w:left="4320" w:hanging="4320"/>
        <w:jc w:val="both"/>
      </w:pPr>
      <w:r>
        <w:tab/>
      </w:r>
      <w:r>
        <w:tab/>
        <w:t>b.</w:t>
      </w:r>
      <w:r>
        <w:tab/>
        <w:t>A person (or his relative) or an entity (including a director, partner or member, as the case may be, of that entity) which has a substantial interest in the business of the assessee.</w:t>
      </w:r>
    </w:p>
    <w:p w:rsidR="00EC74B3" w:rsidRDefault="00EC74B3">
      <w:pPr>
        <w:autoSpaceDE w:val="0"/>
        <w:autoSpaceDN w:val="0"/>
        <w:adjustRightInd w:val="0"/>
        <w:spacing w:line="360" w:lineRule="auto"/>
        <w:jc w:val="both"/>
      </w:pPr>
      <w:r>
        <w:t>____________________________________________________________________</w:t>
      </w:r>
    </w:p>
    <w:p w:rsidR="00EC74B3" w:rsidRDefault="00EC74B3">
      <w:pPr>
        <w:autoSpaceDE w:val="0"/>
        <w:autoSpaceDN w:val="0"/>
        <w:adjustRightInd w:val="0"/>
        <w:spacing w:line="360" w:lineRule="auto"/>
        <w:jc w:val="both"/>
      </w:pPr>
      <w:r>
        <w:t>*"Relative" in relation to an individual, means the husband, wife, brother or sister or any lineal ascendant or descendant of that individual.</w:t>
      </w:r>
    </w:p>
    <w:p w:rsidR="00EC74B3" w:rsidRDefault="00EC74B3">
      <w:pPr>
        <w:autoSpaceDE w:val="0"/>
        <w:autoSpaceDN w:val="0"/>
        <w:adjustRightInd w:val="0"/>
        <w:spacing w:line="360" w:lineRule="auto"/>
        <w:ind w:left="720" w:hanging="720"/>
        <w:jc w:val="both"/>
      </w:pPr>
      <w:r>
        <w:t>**A person is deemed to have a substantial interest in a business or profession if:</w:t>
      </w:r>
    </w:p>
    <w:p w:rsidR="00EC74B3" w:rsidRDefault="00EC74B3">
      <w:pPr>
        <w:autoSpaceDE w:val="0"/>
        <w:autoSpaceDN w:val="0"/>
        <w:adjustRightInd w:val="0"/>
        <w:spacing w:line="360" w:lineRule="auto"/>
        <w:ind w:left="180" w:hanging="180"/>
        <w:jc w:val="both"/>
      </w:pPr>
      <w:proofErr w:type="gramStart"/>
      <w:r>
        <w:t>i</w:t>
      </w:r>
      <w:proofErr w:type="gramEnd"/>
      <w:r>
        <w:t>. in a case where the business or profession is carried on by a company, such person is, at any time during the previous year, the beneficial owner of shares (not being shares entitled to a fixed rate of dividend whether with or without a right to participate in profits) carrying not less than 20% of the voting power; and</w:t>
      </w:r>
    </w:p>
    <w:p w:rsidR="00EC74B3" w:rsidRDefault="00EC74B3">
      <w:pPr>
        <w:autoSpaceDE w:val="0"/>
        <w:autoSpaceDN w:val="0"/>
        <w:adjustRightInd w:val="0"/>
        <w:spacing w:line="360" w:lineRule="auto"/>
        <w:jc w:val="both"/>
      </w:pPr>
      <w:r>
        <w:t xml:space="preserve">ii. </w:t>
      </w:r>
      <w:proofErr w:type="gramStart"/>
      <w:r>
        <w:t>in</w:t>
      </w:r>
      <w:proofErr w:type="gramEnd"/>
      <w:r>
        <w:t xml:space="preserve"> any other case, such person is, at any time during the previous year, beneficially entitled to not less than 20% of the profits of such business or profession. </w:t>
      </w:r>
    </w:p>
    <w:p w:rsidR="00EC74B3" w:rsidRDefault="00EC74B3">
      <w:pPr>
        <w:pStyle w:val="Heading2"/>
        <w:spacing w:line="360" w:lineRule="auto"/>
        <w:rPr>
          <w:rFonts w:ascii="Times New Roman" w:hAnsi="Times New Roman" w:cs="Times New Roman"/>
          <w:u w:val="single"/>
          <w:lang w:val="en-GB"/>
        </w:rPr>
      </w:pPr>
    </w:p>
    <w:p w:rsidR="00EC74B3" w:rsidRDefault="00EC74B3">
      <w:pPr>
        <w:autoSpaceDE w:val="0"/>
        <w:autoSpaceDN w:val="0"/>
        <w:adjustRightInd w:val="0"/>
        <w:spacing w:line="360" w:lineRule="auto"/>
        <w:jc w:val="both"/>
        <w:rPr>
          <w:color w:val="0000FF"/>
        </w:rPr>
      </w:pPr>
      <w:r>
        <w:rPr>
          <w:b/>
          <w:bCs/>
        </w:rPr>
        <w:t xml:space="preserve">4.3.15 </w:t>
      </w:r>
      <w:r>
        <w:t xml:space="preserve">The concept of related party figures in the Customs and Central Excise laws. The Customs Act, 1962 allows authority to disregard price shown by a party if there is transaction with a related party.  </w:t>
      </w:r>
    </w:p>
    <w:p w:rsidR="00EC74B3" w:rsidRDefault="00EC74B3">
      <w:pPr>
        <w:autoSpaceDE w:val="0"/>
        <w:autoSpaceDN w:val="0"/>
        <w:adjustRightInd w:val="0"/>
        <w:spacing w:line="360" w:lineRule="auto"/>
        <w:jc w:val="both"/>
      </w:pPr>
      <w:r>
        <w:lastRenderedPageBreak/>
        <w:t>The circumstances where the buyer and the seller are deemed to be related includes, where</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ind w:left="12368" w:hanging="12368"/>
        <w:jc w:val="both"/>
      </w:pPr>
      <w:r>
        <w:t xml:space="preserve"> (i)</w:t>
      </w:r>
      <w:r>
        <w:tab/>
      </w:r>
      <w:proofErr w:type="gramStart"/>
      <w:r>
        <w:t>they</w:t>
      </w:r>
      <w:proofErr w:type="gramEnd"/>
      <w:r>
        <w:t xml:space="preserve"> are officers or directors of one another's business;</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jc w:val="both"/>
      </w:pPr>
      <w:r>
        <w:t xml:space="preserve"> (ii)</w:t>
      </w:r>
      <w:r>
        <w:tab/>
      </w:r>
      <w:proofErr w:type="gramStart"/>
      <w:r>
        <w:t>they</w:t>
      </w:r>
      <w:proofErr w:type="gramEnd"/>
      <w:r>
        <w:t xml:space="preserve"> are legally recognized partners in business;</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jc w:val="both"/>
      </w:pPr>
      <w:r>
        <w:t xml:space="preserve"> (iii)</w:t>
      </w:r>
      <w:r>
        <w:tab/>
      </w:r>
      <w:proofErr w:type="gramStart"/>
      <w:r>
        <w:t>they</w:t>
      </w:r>
      <w:proofErr w:type="gramEnd"/>
      <w:r>
        <w:t xml:space="preserve"> are employer and employee;</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ind w:left="12368" w:hanging="12368"/>
        <w:jc w:val="both"/>
      </w:pPr>
      <w:r>
        <w:t xml:space="preserve"> (iv)</w:t>
      </w:r>
      <w:r>
        <w:tab/>
      </w:r>
      <w:proofErr w:type="gramStart"/>
      <w:r>
        <w:t>any</w:t>
      </w:r>
      <w:proofErr w:type="gramEnd"/>
      <w:r>
        <w:t xml:space="preserve"> person directly or indirectly owns, controls or holds 5 per c</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jc w:val="both"/>
      </w:pPr>
      <w:r>
        <w:t xml:space="preserve"> (v)</w:t>
      </w:r>
      <w:r>
        <w:tab/>
      </w:r>
      <w:proofErr w:type="gramStart"/>
      <w:r>
        <w:t>one</w:t>
      </w:r>
      <w:proofErr w:type="gramEnd"/>
      <w:r>
        <w:t xml:space="preserve"> of them directly or indirectly controls the other;</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ind w:left="12368" w:hanging="12368"/>
        <w:jc w:val="both"/>
      </w:pPr>
      <w:r>
        <w:t xml:space="preserve"> (vi)</w:t>
      </w:r>
      <w:r>
        <w:tab/>
      </w:r>
      <w:proofErr w:type="gramStart"/>
      <w:r>
        <w:t>both</w:t>
      </w:r>
      <w:proofErr w:type="gramEnd"/>
      <w:r>
        <w:t xml:space="preserve"> of them are directly or indirectly controlled by a third party;</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ind w:left="12368" w:hanging="12368"/>
        <w:jc w:val="both"/>
      </w:pPr>
      <w:r>
        <w:t xml:space="preserve"> (vii)</w:t>
      </w:r>
      <w:r>
        <w:tab/>
      </w:r>
      <w:proofErr w:type="gramStart"/>
      <w:r>
        <w:t>together</w:t>
      </w:r>
      <w:proofErr w:type="gramEnd"/>
      <w:r>
        <w:t xml:space="preserve"> they directly or indirectly control a third person; or</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jc w:val="both"/>
      </w:pPr>
      <w:r>
        <w:t xml:space="preserve"> (viii)</w:t>
      </w:r>
      <w:r>
        <w:tab/>
      </w:r>
      <w:proofErr w:type="gramStart"/>
      <w:r>
        <w:t>they</w:t>
      </w:r>
      <w:proofErr w:type="gramEnd"/>
      <w:r>
        <w:t xml:space="preserve"> are members of the same family.</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jc w:val="both"/>
      </w:pPr>
      <w:r>
        <w:t>It is further clarified that ‘person’ includes ‘legal persons’.</w:t>
      </w:r>
    </w:p>
    <w:p w:rsidR="00EC74B3" w:rsidRDefault="00EC74B3">
      <w:pPr>
        <w:tabs>
          <w:tab w:val="left" w:pos="0"/>
          <w:tab w:val="left" w:pos="720"/>
          <w:tab w:val="left" w:pos="1728"/>
          <w:tab w:val="left" w:pos="2160"/>
          <w:tab w:val="left" w:pos="11648"/>
          <w:tab w:val="left" w:pos="12368"/>
        </w:tabs>
        <w:autoSpaceDE w:val="0"/>
        <w:autoSpaceDN w:val="0"/>
        <w:adjustRightInd w:val="0"/>
        <w:spacing w:line="360" w:lineRule="auto"/>
        <w:jc w:val="both"/>
      </w:pPr>
      <w:r>
        <w:rPr>
          <w:b/>
          <w:bCs/>
        </w:rPr>
        <w:t xml:space="preserve">4.3.16 </w:t>
      </w:r>
      <w:r>
        <w:t xml:space="preserve">Under the Excise Law, the term "related person" is defined to mean "a person who is so associated with the assessee that they have interest, directly or indirectly, in the business of each other and includes a holding company, a subsidiary company, a relative and a distributor of the assessee and any sub-distributor of such distributor". </w:t>
      </w:r>
    </w:p>
    <w:p w:rsidR="00EC74B3" w:rsidRDefault="00EC74B3">
      <w:pPr>
        <w:spacing w:line="360" w:lineRule="auto"/>
        <w:jc w:val="both"/>
      </w:pPr>
      <w:r>
        <w:rPr>
          <w:b/>
          <w:bCs/>
        </w:rPr>
        <w:t xml:space="preserve">4.3.17 </w:t>
      </w:r>
      <w:r>
        <w:t xml:space="preserve">The Institute of Chartered Accountants of India, have also recently </w:t>
      </w:r>
      <w:proofErr w:type="gramStart"/>
      <w:r>
        <w:t>introduced  Accounting</w:t>
      </w:r>
      <w:proofErr w:type="gramEnd"/>
      <w:r>
        <w:t xml:space="preserve"> Standard (AS-18) which deals with related party transactions.  This will be effective from 1</w:t>
      </w:r>
      <w:r>
        <w:rPr>
          <w:vertAlign w:val="superscript"/>
        </w:rPr>
        <w:t>st</w:t>
      </w:r>
      <w:r>
        <w:t xml:space="preserve"> April 2001.  Some of the important features of this standard are discussed below.</w:t>
      </w:r>
    </w:p>
    <w:p w:rsidR="00EC74B3" w:rsidRDefault="00EC74B3">
      <w:pPr>
        <w:spacing w:line="360" w:lineRule="auto"/>
        <w:jc w:val="both"/>
        <w:rPr>
          <w:rFonts w:eastAsia="MS Mincho"/>
        </w:rPr>
      </w:pPr>
      <w:r>
        <w:rPr>
          <w:rFonts w:eastAsia="MS Mincho"/>
          <w:i/>
        </w:rPr>
        <w:t>Related parties</w:t>
      </w:r>
      <w:r>
        <w:rPr>
          <w:rFonts w:eastAsia="MS Mincho"/>
        </w:rPr>
        <w:t xml:space="preserve">: </w:t>
      </w:r>
    </w:p>
    <w:p w:rsidR="00EC74B3" w:rsidRDefault="00EC74B3">
      <w:pPr>
        <w:spacing w:line="360" w:lineRule="auto"/>
        <w:jc w:val="both"/>
        <w:rPr>
          <w:rFonts w:eastAsia="MS Mincho"/>
        </w:rPr>
      </w:pPr>
      <w:r>
        <w:rPr>
          <w:rFonts w:eastAsia="MS Mincho"/>
        </w:rPr>
        <w:t xml:space="preserve">Parties are considered to be related if at any time during the reporting period one party has the ability to control the other party or exercise significant influence over the other party in making financial and/or operating decisions. </w:t>
      </w:r>
    </w:p>
    <w:p w:rsidR="00EC74B3" w:rsidRDefault="00EC74B3">
      <w:pPr>
        <w:spacing w:line="360" w:lineRule="auto"/>
        <w:jc w:val="both"/>
        <w:rPr>
          <w:rFonts w:eastAsia="MS Mincho"/>
        </w:rPr>
      </w:pPr>
      <w:r>
        <w:rPr>
          <w:rFonts w:eastAsia="MS Mincho"/>
        </w:rPr>
        <w:t>Hence the above would cover the following:</w:t>
      </w:r>
    </w:p>
    <w:p w:rsidR="00EC74B3" w:rsidRDefault="00EC74B3">
      <w:pPr>
        <w:spacing w:line="360" w:lineRule="auto"/>
        <w:ind w:left="720"/>
      </w:pPr>
      <w:r>
        <w:t>(a) enterprises that directly, or indirectly through one or more intermediaries, control, or re -controlled by, or are under common control with, the reporting enterprise (this includes holding companies, subsidiaries and fellow subsidiaries);</w:t>
      </w:r>
      <w:r>
        <w:br/>
        <w:t>(b) associates and joint ventures of the reporting enterprise and the investing party or venturer in respect of which the reporting enterprise is an associate or a joint venture;</w:t>
      </w:r>
      <w:r>
        <w:br/>
        <w:t>(c) individuals owning, directly or indirectly, an interest in the voting power of the reporting enterprise that gives them control or significant influence over the enterprise, and relatives of any such individual;</w:t>
      </w:r>
      <w:r>
        <w:br/>
      </w:r>
      <w:r>
        <w:lastRenderedPageBreak/>
        <w:t>(d) key management personnel and relatives of such personnel; and</w:t>
      </w:r>
      <w:r>
        <w:br/>
        <w:t xml:space="preserve">(e) enterprises over which any person described in (c) or (d) is able to exercise significant influence. This includes enterprises owned by directors or major shareholders of the reporting enterprise and enterprises that have a member of key management in common with the reporting enterprise. </w:t>
      </w:r>
    </w:p>
    <w:p w:rsidR="00EC74B3" w:rsidRDefault="00EC74B3">
      <w:pPr>
        <w:spacing w:line="360" w:lineRule="auto"/>
        <w:jc w:val="both"/>
      </w:pPr>
      <w:r>
        <w:t xml:space="preserve">Further, the accounting standard specifically excludes </w:t>
      </w:r>
      <w:proofErr w:type="gramStart"/>
      <w:r>
        <w:t>these relationship</w:t>
      </w:r>
      <w:proofErr w:type="gramEnd"/>
      <w:r>
        <w:t xml:space="preserve"> which come into existence during normal business activities. </w:t>
      </w:r>
    </w:p>
    <w:p w:rsidR="00EC74B3" w:rsidRDefault="00EC74B3">
      <w:pPr>
        <w:spacing w:line="360" w:lineRule="auto"/>
        <w:jc w:val="both"/>
        <w:rPr>
          <w:rFonts w:eastAsia="MS Mincho"/>
          <w:iCs/>
        </w:rPr>
      </w:pPr>
      <w:r>
        <w:rPr>
          <w:rFonts w:eastAsia="MS Mincho"/>
          <w:iCs/>
        </w:rPr>
        <w:t xml:space="preserve">The standard goes on to define the term ‘control’ as </w:t>
      </w:r>
      <w:proofErr w:type="gramStart"/>
      <w:r>
        <w:rPr>
          <w:rFonts w:eastAsia="MS Mincho"/>
          <w:iCs/>
        </w:rPr>
        <w:t>follows :</w:t>
      </w:r>
      <w:proofErr w:type="gramEnd"/>
      <w:r>
        <w:rPr>
          <w:rFonts w:eastAsia="MS Mincho"/>
          <w:iCs/>
        </w:rPr>
        <w:t xml:space="preserve">- </w:t>
      </w:r>
    </w:p>
    <w:p w:rsidR="00EC74B3" w:rsidRDefault="00EC74B3" w:rsidP="005077F7">
      <w:pPr>
        <w:numPr>
          <w:ilvl w:val="1"/>
          <w:numId w:val="5"/>
        </w:numPr>
        <w:spacing w:line="360" w:lineRule="auto"/>
        <w:jc w:val="both"/>
        <w:rPr>
          <w:rFonts w:eastAsia="MS Mincho"/>
        </w:rPr>
      </w:pPr>
      <w:r>
        <w:rPr>
          <w:rFonts w:eastAsia="MS Mincho"/>
        </w:rPr>
        <w:t>ownership, directly or indirectly, of more than one half of the voting power of an enterprise, or</w:t>
      </w:r>
    </w:p>
    <w:p w:rsidR="00EC74B3" w:rsidRDefault="00EC74B3" w:rsidP="005077F7">
      <w:pPr>
        <w:numPr>
          <w:ilvl w:val="1"/>
          <w:numId w:val="5"/>
        </w:numPr>
        <w:spacing w:line="360" w:lineRule="auto"/>
        <w:jc w:val="both"/>
        <w:rPr>
          <w:rFonts w:eastAsia="MS Mincho"/>
        </w:rPr>
      </w:pPr>
      <w:r>
        <w:rPr>
          <w:rFonts w:eastAsia="MS Mincho"/>
        </w:rPr>
        <w:t>control of the composition of the board of directors in the case of a company or of the composition of the corresponding governing body in case of any other enterprise, or</w:t>
      </w:r>
    </w:p>
    <w:p w:rsidR="00EC74B3" w:rsidRDefault="00EC74B3" w:rsidP="005077F7">
      <w:pPr>
        <w:numPr>
          <w:ilvl w:val="1"/>
          <w:numId w:val="5"/>
        </w:numPr>
        <w:spacing w:line="360" w:lineRule="auto"/>
        <w:jc w:val="both"/>
        <w:rPr>
          <w:rFonts w:eastAsia="MS Mincho"/>
        </w:rPr>
      </w:pPr>
      <w:proofErr w:type="gramStart"/>
      <w:r>
        <w:rPr>
          <w:rFonts w:eastAsia="MS Mincho"/>
        </w:rPr>
        <w:t>a</w:t>
      </w:r>
      <w:proofErr w:type="gramEnd"/>
      <w:r>
        <w:rPr>
          <w:rFonts w:eastAsia="MS Mincho"/>
        </w:rPr>
        <w:t xml:space="preserve"> substantial interest in voting power and the power to direct, by statute or agreement, the financial and/or operating policies of the enterprise.</w:t>
      </w:r>
    </w:p>
    <w:p w:rsidR="00EC74B3" w:rsidRDefault="00EC74B3">
      <w:pPr>
        <w:spacing w:line="360" w:lineRule="auto"/>
        <w:jc w:val="both"/>
      </w:pPr>
      <w:r>
        <w:t xml:space="preserve">The standard further clarifies that an enterprise is considered to control the composition if: </w:t>
      </w:r>
    </w:p>
    <w:p w:rsidR="00EC74B3" w:rsidRDefault="00EC74B3" w:rsidP="005077F7">
      <w:pPr>
        <w:numPr>
          <w:ilvl w:val="0"/>
          <w:numId w:val="48"/>
        </w:numPr>
        <w:spacing w:line="360" w:lineRule="auto"/>
        <w:jc w:val="both"/>
      </w:pPr>
      <w:proofErr w:type="gramStart"/>
      <w:r>
        <w:t>the</w:t>
      </w:r>
      <w:proofErr w:type="gramEnd"/>
      <w:r>
        <w:t xml:space="preserve"> board of directors of a company, if it has the power, without the consent or concurrence of any other person, to appoint or remove all or a majority of directors of that company.</w:t>
      </w:r>
    </w:p>
    <w:p w:rsidR="00EC74B3" w:rsidRDefault="00EC74B3">
      <w:pPr>
        <w:spacing w:line="360" w:lineRule="auto"/>
        <w:ind w:left="1080"/>
        <w:jc w:val="both"/>
      </w:pPr>
      <w:r>
        <w:t xml:space="preserve">(ii) </w:t>
      </w:r>
      <w:proofErr w:type="gramStart"/>
      <w:r>
        <w:t>the</w:t>
      </w:r>
      <w:proofErr w:type="gramEnd"/>
      <w:r>
        <w:t xml:space="preserve"> governing body of an enterprise that is not a company, if it has the       power, without the consent or the concurrence of any other person, to appoint or remove all or a majority of members of the governing body of that other enterprise. </w:t>
      </w:r>
    </w:p>
    <w:p w:rsidR="00EC74B3" w:rsidRDefault="00EC74B3">
      <w:pPr>
        <w:autoSpaceDE w:val="0"/>
        <w:autoSpaceDN w:val="0"/>
        <w:adjustRightInd w:val="0"/>
        <w:spacing w:line="360" w:lineRule="auto"/>
        <w:jc w:val="both"/>
      </w:pPr>
      <w:r>
        <w:t>An enterprise is considered to have a substantial interest in another enterprise if that enterprise owns, directly or indirectly, 20 per cent or more interest in the voting power of the other enterprise. Similarly, an individual is considered to have a substantial interest in an enterprise, if that individual owns, directly or indirectly, 20 per cent or more interest in the voting power of the enterprise.</w:t>
      </w:r>
    </w:p>
    <w:p w:rsidR="00EC74B3" w:rsidRDefault="00EC74B3">
      <w:pPr>
        <w:autoSpaceDE w:val="0"/>
        <w:autoSpaceDN w:val="0"/>
        <w:adjustRightInd w:val="0"/>
        <w:spacing w:line="360" w:lineRule="auto"/>
        <w:jc w:val="both"/>
      </w:pPr>
      <w:r>
        <w:rPr>
          <w:b/>
          <w:bCs/>
        </w:rPr>
        <w:t xml:space="preserve">4.3.18 </w:t>
      </w:r>
      <w:r>
        <w:t xml:space="preserve">To keep pace with the provisions on transfer pricing with global developments it is necessary to introduce the concept of “Associated Enterprise” and also of “Control” in India. </w:t>
      </w:r>
    </w:p>
    <w:p w:rsidR="00EC74B3" w:rsidRDefault="00EC74B3">
      <w:pPr>
        <w:autoSpaceDE w:val="0"/>
        <w:autoSpaceDN w:val="0"/>
        <w:adjustRightInd w:val="0"/>
        <w:spacing w:line="360" w:lineRule="auto"/>
        <w:jc w:val="both"/>
      </w:pPr>
      <w:r>
        <w:t xml:space="preserve">It is interesting to note that under the Companies Act 1956 in India, the comfortable management control of any company normally is available with control over 51% of </w:t>
      </w:r>
      <w:r>
        <w:lastRenderedPageBreak/>
        <w:t xml:space="preserve">shares having voting rights. However the management controls of companies can also be exercised even with control over just more than 25% shares having voting </w:t>
      </w:r>
      <w:proofErr w:type="gramStart"/>
      <w:r>
        <w:t>rights,</w:t>
      </w:r>
      <w:proofErr w:type="gramEnd"/>
      <w:r>
        <w:t xml:space="preserve"> as such shareholders can block any special resolutions brought before general body which requires approval of 75% of the shareholders voting rights. Similarly company’s management can be controlled even with less than 25% shares having voting rights if the veto powers are provided in the articles of association and shareholders agreement. Hence, persons owning more than25% shares can be regarded as associated enterprises subject to certain conditions. No doubt in the accounting standard issued by the Institute of Chartered Accountants of India 20% share ownership is regarded as criteria of significant influence.  However, it seems they were guided by the provisions of Income Tax Act1961, but not by International experience.</w:t>
      </w:r>
    </w:p>
    <w:p w:rsidR="00EC74B3" w:rsidRDefault="00EC74B3">
      <w:pPr>
        <w:autoSpaceDE w:val="0"/>
        <w:autoSpaceDN w:val="0"/>
        <w:adjustRightInd w:val="0"/>
        <w:spacing w:line="360" w:lineRule="auto"/>
        <w:jc w:val="both"/>
      </w:pPr>
      <w:r>
        <w:rPr>
          <w:b/>
          <w:bCs/>
        </w:rPr>
        <w:t xml:space="preserve">4.3.19 </w:t>
      </w:r>
      <w:r>
        <w:t>Keeping in mind, the international understanding about the concept of related/associated enterprises the group recommends the following definition of the term “associated enterprises”.</w:t>
      </w:r>
    </w:p>
    <w:p w:rsidR="00EC74B3" w:rsidRDefault="00EC74B3">
      <w:pPr>
        <w:autoSpaceDE w:val="0"/>
        <w:autoSpaceDN w:val="0"/>
        <w:adjustRightInd w:val="0"/>
        <w:spacing w:line="360" w:lineRule="auto"/>
        <w:jc w:val="both"/>
      </w:pPr>
      <w:r>
        <w:rPr>
          <w:b/>
        </w:rPr>
        <w:t>"Associated Enterprises"</w:t>
      </w:r>
      <w:r>
        <w:t xml:space="preserve"> means an enterprise that has any of the following relationship with another enterprise, whether resident or non-resident:</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Direct or indirect ownership of, or control over, through one or more intermediaries, holding company, subsidiaries company or otherwise, or</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Direct or indirect ownership or control of both enterprises by a third person; or</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Persons owning, directly or indirectly not less than 25% interest in the voting power of the enterprise</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In case of an individual, any relatives of the individual.</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In case of HUF, any member of the HUF or relative of such member.</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In case of firm, AOP or BOI, persons owning not less than 10% interest in such firm, AOP or BOI.</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Any other relationship arising from mutual interest as may be prescribed by the Central Government in this behalf.</w:t>
      </w:r>
    </w:p>
    <w:p w:rsidR="00EC74B3" w:rsidRDefault="00EC74B3">
      <w:pPr>
        <w:pStyle w:val="BodyTextIndent2"/>
        <w:spacing w:line="360" w:lineRule="auto"/>
        <w:ind w:firstLine="0"/>
        <w:jc w:val="both"/>
        <w:rPr>
          <w:rFonts w:ascii="Times New Roman" w:hAnsi="Times New Roman" w:cs="Times New Roman"/>
          <w:lang w:val="en-GB"/>
        </w:rPr>
      </w:pPr>
      <w:r>
        <w:rPr>
          <w:rFonts w:ascii="Times New Roman" w:hAnsi="Times New Roman" w:cs="Times New Roman"/>
          <w:u w:val="single"/>
          <w:lang w:val="en-GB"/>
        </w:rPr>
        <w:t>Explanation</w:t>
      </w:r>
      <w:r>
        <w:rPr>
          <w:rFonts w:ascii="Times New Roman" w:hAnsi="Times New Roman" w:cs="Times New Roman"/>
          <w:lang w:val="en-GB"/>
        </w:rPr>
        <w:t>: (i) The term ‘Enterprise’, ‘Entity’, ‘Person’ and ‘Party’, wherever used in the chapter, shall have the same meaning as of “Person” defined in Section 2(31) of the Act.</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eastAsia="Arial"/>
          <w:bCs/>
          <w:color w:val="000000"/>
        </w:rPr>
      </w:pPr>
      <w:r>
        <w:rPr>
          <w:rFonts w:eastAsia="Arial"/>
          <w:b/>
          <w:color w:val="000000"/>
        </w:rPr>
        <w:t xml:space="preserve">(ii) </w:t>
      </w:r>
      <w:r>
        <w:rPr>
          <w:rFonts w:eastAsia="Arial"/>
          <w:bCs/>
          <w:color w:val="000000"/>
        </w:rPr>
        <w:t>Two enterprises shall be deemed to be "Associated Enterprise" if:</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rFonts w:eastAsia="Arial"/>
          <w:color w:val="000000"/>
        </w:rPr>
      </w:pPr>
      <w:r>
        <w:rPr>
          <w:rFonts w:eastAsia="Arial"/>
          <w:color w:val="000000"/>
        </w:rPr>
        <w:lastRenderedPageBreak/>
        <w:t>a)</w:t>
      </w:r>
      <w:r>
        <w:rPr>
          <w:rFonts w:eastAsia="Arial"/>
          <w:color w:val="000000"/>
        </w:rPr>
        <w:tab/>
        <w:t>The one holds not less than 25 per cent of the total share capital of the other enterprise directly or indirectly;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b)</w:t>
      </w:r>
      <w:r>
        <w:rPr>
          <w:rFonts w:eastAsia="Arial"/>
          <w:color w:val="000000"/>
        </w:rPr>
        <w:tab/>
        <w:t>A third person holds not less than 25 per cent of the total share capital of both enterprises directly or indirectly;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c)</w:t>
      </w:r>
      <w:r>
        <w:rPr>
          <w:rFonts w:eastAsia="Arial"/>
          <w:color w:val="000000"/>
        </w:rPr>
        <w:tab/>
        <w:t>A loan granted by one enterprise to the other constitutes 50 per cent of the total assets of that other enterprise; or one enterprise guarantees 10 per cent of the total debts of the other enterprise;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d)</w:t>
      </w:r>
      <w:r>
        <w:rPr>
          <w:rFonts w:eastAsia="Arial"/>
          <w:color w:val="000000"/>
        </w:rPr>
        <w:tab/>
        <w:t>50 per cent or more of the board members or directors of one enterprise are appointed by the other enterprise, or one executive board member is appointed by the other enterprise;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e)</w:t>
      </w:r>
      <w:r>
        <w:rPr>
          <w:rFonts w:eastAsia="Arial"/>
          <w:color w:val="000000"/>
        </w:rPr>
        <w:tab/>
      </w:r>
      <w:proofErr w:type="gramStart"/>
      <w:r>
        <w:rPr>
          <w:rFonts w:eastAsia="Arial"/>
          <w:color w:val="000000"/>
        </w:rPr>
        <w:t>the</w:t>
      </w:r>
      <w:proofErr w:type="gramEnd"/>
      <w:r>
        <w:rPr>
          <w:rFonts w:eastAsia="Arial"/>
          <w:color w:val="000000"/>
        </w:rPr>
        <w:t xml:space="preserve"> production of one enterprise is only possible if the intellectual property of the other enterprise is used;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f)</w:t>
      </w:r>
      <w:r>
        <w:rPr>
          <w:rFonts w:eastAsia="Arial"/>
          <w:color w:val="000000"/>
        </w:rPr>
        <w:tab/>
        <w:t>The supply of raw materials and spare parts necessary for production of one enterprise is controlled by the other enterprise (including prices and trade conditions);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g)</w:t>
      </w:r>
      <w:r>
        <w:rPr>
          <w:rFonts w:eastAsia="Arial"/>
          <w:color w:val="000000"/>
        </w:rPr>
        <w:tab/>
        <w:t>The sale of products of one enterprise (including prices and trade conditions) is controlled by the other enterprise; or</w:t>
      </w:r>
    </w:p>
    <w:p w:rsidR="00EC74B3" w:rsidRDefault="00EC74B3">
      <w:pPr>
        <w:autoSpaceDE w:val="0"/>
        <w:autoSpaceDN w:val="0"/>
        <w:adjustRightInd w:val="0"/>
        <w:spacing w:line="360" w:lineRule="auto"/>
        <w:jc w:val="both"/>
      </w:pPr>
      <w:r>
        <w:rPr>
          <w:rFonts w:eastAsia="Arial"/>
          <w:color w:val="000000"/>
        </w:rPr>
        <w:t>h)</w:t>
      </w:r>
      <w:r>
        <w:rPr>
          <w:rFonts w:eastAsia="Arial"/>
          <w:color w:val="000000"/>
        </w:rPr>
        <w:tab/>
        <w:t xml:space="preserve">There is indirect but actual control over production and trade based on other related </w:t>
      </w:r>
      <w:r>
        <w:rPr>
          <w:rFonts w:eastAsia="Arial"/>
        </w:rPr>
        <w:t>interests (e.g. family ties).</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pPr>
    </w:p>
    <w:p w:rsidR="00EC74B3" w:rsidRDefault="00EC74B3">
      <w:pPr>
        <w:rPr>
          <w:b/>
          <w:bCs/>
          <w:u w:val="single"/>
        </w:rPr>
      </w:pPr>
      <w:r>
        <w:rPr>
          <w:b/>
          <w:bCs/>
          <w:u w:val="single"/>
        </w:rPr>
        <w:t>TRANSACTIONS SUBJECT TO ADJUSTMENT</w:t>
      </w:r>
    </w:p>
    <w:p w:rsidR="00EC74B3" w:rsidRDefault="00EC74B3">
      <w:pPr>
        <w:pStyle w:val="DefaultText"/>
        <w:jc w:val="both"/>
        <w:rPr>
          <w:b/>
          <w:lang w:val="en-GB"/>
        </w:rPr>
      </w:pPr>
    </w:p>
    <w:p w:rsidR="00EC74B3" w:rsidRDefault="00EC74B3">
      <w:pPr>
        <w:pStyle w:val="DefaultText"/>
        <w:spacing w:line="360" w:lineRule="auto"/>
        <w:jc w:val="both"/>
        <w:rPr>
          <w:lang w:val="en-GB"/>
        </w:rPr>
      </w:pPr>
      <w:r>
        <w:rPr>
          <w:lang w:val="en-GB"/>
        </w:rPr>
        <w:t xml:space="preserve"> </w:t>
      </w:r>
      <w:r>
        <w:rPr>
          <w:b/>
          <w:bCs/>
          <w:lang w:val="en-GB"/>
        </w:rPr>
        <w:t xml:space="preserve">4.4.1 </w:t>
      </w:r>
      <w:r>
        <w:rPr>
          <w:lang w:val="en-GB"/>
        </w:rPr>
        <w:t>The  main  objective of  Transfer   Pricing   Regulations is  to   ascertain  whether international transactions made between related parties are at arm’s length or not.</w:t>
      </w:r>
    </w:p>
    <w:p w:rsidR="00EC74B3" w:rsidRDefault="00EC74B3">
      <w:pPr>
        <w:pStyle w:val="DefaultText"/>
        <w:spacing w:line="360" w:lineRule="auto"/>
        <w:jc w:val="both"/>
        <w:rPr>
          <w:lang w:val="en-GB"/>
        </w:rPr>
      </w:pPr>
      <w:r>
        <w:rPr>
          <w:b/>
          <w:bCs/>
          <w:lang w:val="en-GB"/>
        </w:rPr>
        <w:t xml:space="preserve">4.4.2 </w:t>
      </w:r>
      <w:r>
        <w:rPr>
          <w:lang w:val="en-GB"/>
        </w:rPr>
        <w:t>The studies made by the Group shows that the transfer pricing regulations of all countries have a provision for pricing adjustment in respect of tangible and intangible goods and services. The pricing methods are part of the transfer pricing regulations both in developed and developing countries. The guidelines in this regard also exist in case of U.K., Germany, Australia, South Korea and China. A summary of international practice is in the Annexure.</w:t>
      </w:r>
    </w:p>
    <w:p w:rsidR="00EC74B3" w:rsidRDefault="00EC74B3">
      <w:pPr>
        <w:pStyle w:val="DefaultText"/>
        <w:spacing w:line="360" w:lineRule="auto"/>
        <w:jc w:val="both"/>
        <w:rPr>
          <w:u w:val="single"/>
          <w:lang w:val="en-GB"/>
        </w:rPr>
      </w:pPr>
      <w:r>
        <w:rPr>
          <w:u w:val="single"/>
          <w:lang w:val="en-GB"/>
        </w:rPr>
        <w:t>Tangible Properties</w:t>
      </w:r>
    </w:p>
    <w:p w:rsidR="00EC74B3" w:rsidRDefault="00EC74B3">
      <w:pPr>
        <w:pStyle w:val="DefaultText"/>
        <w:spacing w:line="360" w:lineRule="auto"/>
        <w:jc w:val="both"/>
        <w:rPr>
          <w:lang w:val="en-GB"/>
        </w:rPr>
      </w:pPr>
      <w:r>
        <w:rPr>
          <w:b/>
          <w:bCs/>
          <w:lang w:val="en-GB"/>
        </w:rPr>
        <w:t xml:space="preserve">4.4.3 </w:t>
      </w:r>
      <w:r>
        <w:rPr>
          <w:lang w:val="en-GB"/>
        </w:rPr>
        <w:t xml:space="preserve">As far as India is concerned, there is no comparable data available as we will be resorting to these provisions for the first time. In such circumstances, the issue for </w:t>
      </w:r>
      <w:r>
        <w:rPr>
          <w:lang w:val="en-GB"/>
        </w:rPr>
        <w:lastRenderedPageBreak/>
        <w:t xml:space="preserve">consideration before us is whether to recommend all the </w:t>
      </w:r>
      <w:proofErr w:type="gramStart"/>
      <w:r>
        <w:rPr>
          <w:lang w:val="en-GB"/>
        </w:rPr>
        <w:t>methods  in</w:t>
      </w:r>
      <w:proofErr w:type="gramEnd"/>
      <w:r>
        <w:rPr>
          <w:lang w:val="en-GB"/>
        </w:rPr>
        <w:t xml:space="preserve"> the proposed  guidelines or rules. The group have gone at length in studying the practices of other countries and the constraints involved. It may be relevant to refer here Mexican Model where only cost plus method is used in transactions between American Companies in their dealings with controlled companies in Mexico. The circumstances in India are similar to Mexico as comparable data is virtually non existent. We are of the view that to begin with the following main methods should be used in making transfer pricing adjustments, as the primary onus to satisfy the reasonableness of the method lies on the tax </w:t>
      </w:r>
      <w:proofErr w:type="gramStart"/>
      <w:r>
        <w:rPr>
          <w:lang w:val="en-GB"/>
        </w:rPr>
        <w:t>payer :</w:t>
      </w:r>
      <w:proofErr w:type="gramEnd"/>
    </w:p>
    <w:p w:rsidR="00EC74B3" w:rsidRDefault="00EC74B3" w:rsidP="005077F7">
      <w:pPr>
        <w:pStyle w:val="DefaultText"/>
        <w:numPr>
          <w:ilvl w:val="0"/>
          <w:numId w:val="7"/>
        </w:numPr>
        <w:spacing w:line="360" w:lineRule="auto"/>
        <w:jc w:val="both"/>
        <w:rPr>
          <w:lang w:val="en-GB"/>
        </w:rPr>
      </w:pPr>
      <w:r>
        <w:rPr>
          <w:lang w:val="en-GB"/>
        </w:rPr>
        <w:t xml:space="preserve"> Comparable Uncontrolled Price Method  [CUP]</w:t>
      </w:r>
    </w:p>
    <w:p w:rsidR="00EC74B3" w:rsidRDefault="00EC74B3" w:rsidP="005077F7">
      <w:pPr>
        <w:pStyle w:val="DefaultText"/>
        <w:numPr>
          <w:ilvl w:val="0"/>
          <w:numId w:val="7"/>
        </w:numPr>
        <w:spacing w:line="360" w:lineRule="auto"/>
        <w:jc w:val="both"/>
        <w:rPr>
          <w:lang w:val="en-GB"/>
        </w:rPr>
      </w:pPr>
      <w:r>
        <w:rPr>
          <w:lang w:val="en-GB"/>
        </w:rPr>
        <w:t xml:space="preserve"> Resale Price Method  [RPM]</w:t>
      </w:r>
    </w:p>
    <w:p w:rsidR="00EC74B3" w:rsidRDefault="00EC74B3" w:rsidP="005077F7">
      <w:pPr>
        <w:pStyle w:val="DefaultText"/>
        <w:numPr>
          <w:ilvl w:val="0"/>
          <w:numId w:val="7"/>
        </w:numPr>
        <w:spacing w:line="360" w:lineRule="auto"/>
        <w:jc w:val="both"/>
        <w:rPr>
          <w:lang w:val="en-GB"/>
        </w:rPr>
      </w:pPr>
      <w:r>
        <w:rPr>
          <w:lang w:val="en-GB"/>
        </w:rPr>
        <w:t xml:space="preserve"> Cost Plus Method [CPM]</w:t>
      </w:r>
    </w:p>
    <w:p w:rsidR="00EC74B3" w:rsidRDefault="00EC74B3">
      <w:pPr>
        <w:pStyle w:val="DefaultText"/>
        <w:spacing w:line="360" w:lineRule="auto"/>
        <w:jc w:val="both"/>
        <w:rPr>
          <w:lang w:val="en-GB"/>
        </w:rPr>
      </w:pPr>
      <w:r>
        <w:rPr>
          <w:lang w:val="en-GB"/>
        </w:rPr>
        <w:t>(4)  Other reasonable methods as prescribed by the Central Board of Direct Taxes.</w:t>
      </w:r>
    </w:p>
    <w:p w:rsidR="00EC74B3" w:rsidRDefault="00EC74B3">
      <w:pPr>
        <w:pStyle w:val="DefaultText"/>
        <w:spacing w:line="360" w:lineRule="auto"/>
        <w:jc w:val="both"/>
        <w:rPr>
          <w:lang w:val="en-GB"/>
        </w:rPr>
      </w:pPr>
      <w:r>
        <w:rPr>
          <w:b/>
          <w:bCs/>
          <w:lang w:val="en-GB"/>
        </w:rPr>
        <w:t xml:space="preserve">4.4.4 </w:t>
      </w:r>
      <w:r>
        <w:rPr>
          <w:lang w:val="en-GB"/>
        </w:rPr>
        <w:t>We have not made any specific recommendation of any other method as in our view the regulations should contain a residuary clause vesting powers with CBDT to prescribe any other method. In our view, the recommended methods of transfer pricing  should not form part of substantive law but be  prescribed either in the rules or by way of Board’s Circular.  The various types of transactions where adjustments may be made are discussed later.</w:t>
      </w:r>
    </w:p>
    <w:p w:rsidR="00EC74B3" w:rsidRDefault="00EC74B3">
      <w:pPr>
        <w:pStyle w:val="DefaultText"/>
        <w:spacing w:line="360" w:lineRule="auto"/>
        <w:jc w:val="both"/>
        <w:rPr>
          <w:u w:val="single"/>
          <w:lang w:val="en-GB"/>
        </w:rPr>
      </w:pPr>
      <w:r>
        <w:rPr>
          <w:u w:val="single"/>
          <w:lang w:val="en-GB"/>
        </w:rPr>
        <w:t>FINANCING TRANSACTIONS</w:t>
      </w:r>
    </w:p>
    <w:p w:rsidR="00EC74B3" w:rsidRDefault="00EC74B3">
      <w:pPr>
        <w:pStyle w:val="DefaultText"/>
        <w:spacing w:line="360" w:lineRule="auto"/>
        <w:jc w:val="both"/>
        <w:rPr>
          <w:lang w:val="en-GB"/>
        </w:rPr>
      </w:pPr>
      <w:r>
        <w:rPr>
          <w:b/>
          <w:bCs/>
          <w:lang w:val="en-GB"/>
        </w:rPr>
        <w:t xml:space="preserve">4.4.5 </w:t>
      </w:r>
      <w:r>
        <w:rPr>
          <w:lang w:val="en-GB"/>
        </w:rPr>
        <w:t xml:space="preserve">In case of finance transactions between associated enterprises, an adjustment may be necessary according to the </w:t>
      </w:r>
      <w:proofErr w:type="gramStart"/>
      <w:r>
        <w:rPr>
          <w:lang w:val="en-GB"/>
        </w:rPr>
        <w:t>prevailing  interest</w:t>
      </w:r>
      <w:proofErr w:type="gramEnd"/>
      <w:r>
        <w:rPr>
          <w:lang w:val="en-GB"/>
        </w:rPr>
        <w:t xml:space="preserve"> rates. The assessing officer will have to consider various factors before making adjustment in this regard such as loan amount, terms of loan, term of granting, borrower’s credit, repayment terms and interest calculation </w:t>
      </w:r>
      <w:proofErr w:type="gramStart"/>
      <w:r>
        <w:rPr>
          <w:lang w:val="en-GB"/>
        </w:rPr>
        <w:t>method  etc</w:t>
      </w:r>
      <w:proofErr w:type="gramEnd"/>
      <w:r>
        <w:rPr>
          <w:lang w:val="en-GB"/>
        </w:rPr>
        <w:t xml:space="preserve">. </w:t>
      </w:r>
    </w:p>
    <w:p w:rsidR="00EC74B3" w:rsidRDefault="00EC74B3">
      <w:pPr>
        <w:pStyle w:val="DefaultText"/>
        <w:spacing w:line="360" w:lineRule="auto"/>
        <w:jc w:val="both"/>
        <w:rPr>
          <w:lang w:val="en-GB"/>
        </w:rPr>
      </w:pPr>
      <w:r>
        <w:rPr>
          <w:u w:val="single"/>
          <w:lang w:val="en-GB"/>
        </w:rPr>
        <w:t>SERVICE AND MANAGEMENT FEES</w:t>
      </w:r>
      <w:r>
        <w:rPr>
          <w:lang w:val="en-GB"/>
        </w:rPr>
        <w:t xml:space="preserve">   </w:t>
      </w:r>
    </w:p>
    <w:p w:rsidR="00EC74B3" w:rsidRDefault="00EC74B3">
      <w:pPr>
        <w:pStyle w:val="DefaultText"/>
        <w:spacing w:line="360" w:lineRule="auto"/>
        <w:jc w:val="both"/>
        <w:rPr>
          <w:lang w:val="en-GB"/>
        </w:rPr>
      </w:pPr>
      <w:r>
        <w:rPr>
          <w:b/>
          <w:bCs/>
          <w:lang w:val="en-GB"/>
        </w:rPr>
        <w:t xml:space="preserve">4.4.6 </w:t>
      </w:r>
      <w:r>
        <w:rPr>
          <w:lang w:val="en-GB"/>
        </w:rPr>
        <w:t xml:space="preserve">As regards service and management fees, the tax authority will have to </w:t>
      </w:r>
      <w:proofErr w:type="gramStart"/>
      <w:r>
        <w:rPr>
          <w:lang w:val="en-GB"/>
        </w:rPr>
        <w:t>examine  the</w:t>
      </w:r>
      <w:proofErr w:type="gramEnd"/>
      <w:r>
        <w:rPr>
          <w:lang w:val="en-GB"/>
        </w:rPr>
        <w:t xml:space="preserve"> arm’s length service charges between related parties  having regard to the normal service charges for similar services. It is desirable to ensure that there is a formal agreement between the overseas companies and the provider of the services. Such an agreement should set out clearly the services which are to be provided and how any fee is to be calculated.  It may also be necessary for the tax payer to provide evidence that services were actually provided and are in commensurate with the fee charged. The authorities will have to take into account types of services provided to associated </w:t>
      </w:r>
      <w:r>
        <w:rPr>
          <w:lang w:val="en-GB"/>
        </w:rPr>
        <w:lastRenderedPageBreak/>
        <w:t xml:space="preserve">enterprise or unrelated enterprise, the nature of business, technology requirement, professional standards and terms and conditions of the agreement. The group feels that the cost plus method will be most suitable for arriving at the arm’s length price in case of services and management fees.  </w:t>
      </w:r>
    </w:p>
    <w:p w:rsidR="00EC74B3" w:rsidRDefault="00EC74B3">
      <w:pPr>
        <w:pStyle w:val="DefaultText"/>
        <w:spacing w:line="360" w:lineRule="auto"/>
        <w:jc w:val="both"/>
        <w:rPr>
          <w:lang w:val="en-GB"/>
        </w:rPr>
      </w:pPr>
      <w:r>
        <w:rPr>
          <w:u w:val="single"/>
          <w:lang w:val="en-GB"/>
        </w:rPr>
        <w:t>INTANGIBLE PROPERTY</w:t>
      </w:r>
      <w:r>
        <w:rPr>
          <w:lang w:val="en-GB"/>
        </w:rPr>
        <w:t xml:space="preserve">        </w:t>
      </w:r>
    </w:p>
    <w:p w:rsidR="00EC74B3" w:rsidRDefault="00EC74B3">
      <w:pPr>
        <w:pStyle w:val="DefaultText"/>
        <w:spacing w:line="360" w:lineRule="auto"/>
        <w:jc w:val="both"/>
        <w:rPr>
          <w:lang w:val="en-GB"/>
        </w:rPr>
      </w:pPr>
      <w:r>
        <w:rPr>
          <w:b/>
          <w:bCs/>
          <w:lang w:val="en-GB"/>
        </w:rPr>
        <w:t xml:space="preserve">4.4.7 </w:t>
      </w:r>
      <w:r>
        <w:rPr>
          <w:lang w:val="en-GB"/>
        </w:rPr>
        <w:t xml:space="preserve">As regards transfer </w:t>
      </w:r>
      <w:proofErr w:type="gramStart"/>
      <w:r>
        <w:rPr>
          <w:lang w:val="en-GB"/>
        </w:rPr>
        <w:t>of  intangible</w:t>
      </w:r>
      <w:proofErr w:type="gramEnd"/>
      <w:r>
        <w:rPr>
          <w:lang w:val="en-GB"/>
        </w:rPr>
        <w:t xml:space="preserve"> property, we are of the view that arm’s length pricing  should take into account the perspective of both the transferor  and the transferee. The intangible property may be of significant value even though it has no or little book value in the tax payer’s balance sheet. The difficulty is in finding comparable intangibles. Where comparable data on an intangible exists, the CUP or   Resale price </w:t>
      </w:r>
      <w:proofErr w:type="gramStart"/>
      <w:r>
        <w:rPr>
          <w:lang w:val="en-GB"/>
        </w:rPr>
        <w:t>method  may</w:t>
      </w:r>
      <w:proofErr w:type="gramEnd"/>
      <w:r>
        <w:rPr>
          <w:lang w:val="en-GB"/>
        </w:rPr>
        <w:t xml:space="preserve"> be appropriate. </w:t>
      </w:r>
    </w:p>
    <w:p w:rsidR="00EC74B3" w:rsidRDefault="00EC74B3">
      <w:pPr>
        <w:pStyle w:val="DefaultText"/>
        <w:spacing w:line="360" w:lineRule="auto"/>
        <w:ind w:firstLine="720"/>
        <w:jc w:val="both"/>
        <w:rPr>
          <w:lang w:val="en-GB"/>
        </w:rPr>
      </w:pPr>
      <w:r>
        <w:rPr>
          <w:lang w:val="en-GB"/>
        </w:rPr>
        <w:t xml:space="preserve">For example, it may be possible to use CUP method for determining arm’s length price for the sale or license of a patent, trade mark, or know-how if the same or comparable intangible property has been sold or license to unrelated parties. However, the group feels that application of a particular method would depend on the facts and circumstances of each case.  </w:t>
      </w:r>
    </w:p>
    <w:p w:rsidR="00EC74B3" w:rsidRDefault="00EC74B3">
      <w:pPr>
        <w:pStyle w:val="DefaultText"/>
        <w:spacing w:line="360" w:lineRule="auto"/>
        <w:jc w:val="both"/>
        <w:rPr>
          <w:lang w:val="en-GB"/>
        </w:rPr>
      </w:pPr>
      <w:r>
        <w:rPr>
          <w:u w:val="single"/>
          <w:lang w:val="en-GB"/>
        </w:rPr>
        <w:t>TRANSACTIONS INVOLVING THIRD PARTY</w:t>
      </w:r>
      <w:r>
        <w:rPr>
          <w:lang w:val="en-GB"/>
        </w:rPr>
        <w:t xml:space="preserve">     </w:t>
      </w:r>
    </w:p>
    <w:p w:rsidR="00EC74B3" w:rsidRDefault="00EC74B3">
      <w:pPr>
        <w:tabs>
          <w:tab w:val="left" w:pos="0"/>
          <w:tab w:val="left" w:pos="720"/>
          <w:tab w:val="left" w:pos="1728"/>
        </w:tabs>
        <w:autoSpaceDE w:val="0"/>
        <w:autoSpaceDN w:val="0"/>
        <w:adjustRightInd w:val="0"/>
        <w:spacing w:line="360" w:lineRule="auto"/>
        <w:jc w:val="both"/>
      </w:pPr>
      <w:r>
        <w:rPr>
          <w:b/>
          <w:bCs/>
        </w:rPr>
        <w:t>4.4.8</w:t>
      </w:r>
      <w:r>
        <w:t xml:space="preserve"> When in a case where international transaction is made between an assessee and a third party other than an associated enterprise, provision of this chapter shall apply as if the international transaction is made with the associated enterprise, if one of the following conditions are satisfied:</w:t>
      </w:r>
    </w:p>
    <w:p w:rsidR="00EC74B3" w:rsidRDefault="00EC74B3" w:rsidP="005077F7">
      <w:pPr>
        <w:pStyle w:val="BodyTextIndent3"/>
        <w:numPr>
          <w:ilvl w:val="0"/>
          <w:numId w:val="2"/>
        </w:numPr>
        <w:tabs>
          <w:tab w:val="clear" w:pos="720"/>
          <w:tab w:val="clear" w:pos="1728"/>
        </w:tabs>
        <w:spacing w:line="360" w:lineRule="auto"/>
        <w:jc w:val="both"/>
        <w:rPr>
          <w:rFonts w:ascii="Times New Roman" w:hAnsi="Times New Roman" w:cs="Times New Roman"/>
          <w:lang w:val="en-GB"/>
        </w:rPr>
      </w:pPr>
      <w:r>
        <w:rPr>
          <w:rFonts w:ascii="Times New Roman" w:hAnsi="Times New Roman" w:cs="Times New Roman"/>
          <w:lang w:val="en-GB"/>
        </w:rPr>
        <w:t>There is a prior agreement on the relevant transaction between the third party and the associated enterprise; or</w:t>
      </w:r>
    </w:p>
    <w:p w:rsidR="00EC74B3" w:rsidRDefault="00EC74B3" w:rsidP="005077F7">
      <w:pPr>
        <w:pStyle w:val="BodyTextIndent2"/>
        <w:numPr>
          <w:ilvl w:val="1"/>
          <w:numId w:val="2"/>
        </w:numPr>
        <w:tabs>
          <w:tab w:val="num" w:pos="1080"/>
        </w:tabs>
        <w:spacing w:line="360" w:lineRule="auto"/>
        <w:jc w:val="both"/>
        <w:rPr>
          <w:rFonts w:ascii="Times New Roman" w:hAnsi="Times New Roman" w:cs="Times New Roman"/>
          <w:lang w:val="en-GB"/>
        </w:rPr>
      </w:pPr>
      <w:r>
        <w:rPr>
          <w:rFonts w:ascii="Times New Roman" w:hAnsi="Times New Roman" w:cs="Times New Roman"/>
          <w:lang w:val="en-GB"/>
        </w:rPr>
        <w:t>The terms of the relevant transaction are determined in substance, between the third party and the associated enterprise.</w:t>
      </w:r>
    </w:p>
    <w:p w:rsidR="00EC74B3" w:rsidRDefault="00EC74B3">
      <w:pPr>
        <w:pStyle w:val="DefaultText"/>
        <w:jc w:val="both"/>
        <w:rPr>
          <w:u w:val="single"/>
          <w:lang w:val="en-GB"/>
        </w:rPr>
      </w:pPr>
    </w:p>
    <w:p w:rsidR="00EC74B3" w:rsidRDefault="00EC74B3">
      <w:pPr>
        <w:pStyle w:val="DefaultText"/>
        <w:spacing w:line="360" w:lineRule="auto"/>
        <w:jc w:val="both"/>
        <w:rPr>
          <w:lang w:val="en-GB"/>
        </w:rPr>
      </w:pPr>
      <w:r>
        <w:rPr>
          <w:u w:val="single"/>
          <w:lang w:val="en-GB"/>
        </w:rPr>
        <w:t>SECONDARY ADJUSTMENT</w:t>
      </w:r>
    </w:p>
    <w:p w:rsidR="00EC74B3" w:rsidRDefault="00EC74B3">
      <w:pPr>
        <w:pStyle w:val="DefaultText"/>
        <w:spacing w:line="360" w:lineRule="auto"/>
        <w:jc w:val="both"/>
        <w:rPr>
          <w:lang w:val="en-GB"/>
        </w:rPr>
      </w:pPr>
      <w:r>
        <w:rPr>
          <w:b/>
          <w:bCs/>
          <w:lang w:val="en-GB"/>
        </w:rPr>
        <w:t xml:space="preserve">4.4.9 </w:t>
      </w:r>
      <w:r>
        <w:rPr>
          <w:lang w:val="en-GB"/>
        </w:rPr>
        <w:t xml:space="preserve">The transfer pricing regulations of some countries have also provisions for secondary adjustment whereby, if the authorities of one country make adjustment to the prices charged and thereby increase the taxable profits in that country, the same profit will be taxed twice unless a corresponding downward adjustment is made in the other country. The tax treaties also sometimes contain </w:t>
      </w:r>
      <w:proofErr w:type="gramStart"/>
      <w:r>
        <w:rPr>
          <w:lang w:val="en-GB"/>
        </w:rPr>
        <w:t>a reciprocal obligations</w:t>
      </w:r>
      <w:proofErr w:type="gramEnd"/>
      <w:r>
        <w:rPr>
          <w:lang w:val="en-GB"/>
        </w:rPr>
        <w:t xml:space="preserve"> to make correlated adjustments.  As transfer pricing regulations have not so far developed in India, the necessity of secondary adjustment is not considered necessary. </w:t>
      </w:r>
      <w:r>
        <w:rPr>
          <w:lang w:val="en-GB"/>
        </w:rPr>
        <w:lastRenderedPageBreak/>
        <w:t xml:space="preserve">Moreover, the tax authorities cannot ensure adjustment in the jurisdiction of other country unless it has a treaty with that country and a provision exists to that effect. We, therefore, are of the view that proposed legislation need not have any provision regarding secondary adjustment and the same can be taken care in tax treaties.     </w:t>
      </w:r>
    </w:p>
    <w:p w:rsidR="00EC74B3" w:rsidRDefault="00EC74B3">
      <w:pPr>
        <w:pStyle w:val="DefaultText"/>
        <w:spacing w:line="360" w:lineRule="auto"/>
        <w:jc w:val="both"/>
        <w:rPr>
          <w:lang w:val="en-GB"/>
        </w:rPr>
      </w:pPr>
      <w:r>
        <w:rPr>
          <w:b/>
          <w:bCs/>
          <w:lang w:val="en-GB"/>
        </w:rPr>
        <w:t xml:space="preserve">4.4.10 </w:t>
      </w:r>
      <w:r>
        <w:rPr>
          <w:lang w:val="en-GB"/>
        </w:rPr>
        <w:t>In the light of the aforesaid discussion, the group feels that in cases where transfer pricing inquiry is initiated and adjustments on the principles discussed above are considered necessary, the officer may make pricing adjustment to the declared values and re-determine the tax base or income.</w:t>
      </w:r>
    </w:p>
    <w:p w:rsidR="00EC74B3" w:rsidRDefault="00EC74B3">
      <w:pPr>
        <w:pStyle w:val="Heading1"/>
        <w:rPr>
          <w:rFonts w:ascii="Times New Roman" w:hAnsi="Times New Roman" w:cs="Times New Roman"/>
          <w:u w:val="single"/>
          <w:lang w:val="en-GB"/>
        </w:rPr>
      </w:pPr>
    </w:p>
    <w:p w:rsidR="00EC74B3" w:rsidRDefault="00EC74B3">
      <w:pPr>
        <w:pStyle w:val="Heading1"/>
        <w:rPr>
          <w:rFonts w:ascii="Times New Roman" w:hAnsi="Times New Roman" w:cs="Times New Roman"/>
          <w:u w:val="single"/>
          <w:lang w:val="en-GB"/>
        </w:rPr>
      </w:pPr>
      <w:r>
        <w:rPr>
          <w:rFonts w:ascii="Times New Roman" w:hAnsi="Times New Roman" w:cs="Times New Roman"/>
          <w:u w:val="single"/>
          <w:lang w:val="en-GB"/>
        </w:rPr>
        <w:t>DOCUMENTATION REQUIREMENTS</w:t>
      </w:r>
    </w:p>
    <w:p w:rsidR="00EC74B3" w:rsidRDefault="00EC74B3">
      <w:pPr>
        <w:spacing w:line="360" w:lineRule="auto"/>
        <w:jc w:val="both"/>
      </w:pPr>
      <w:r>
        <w:rPr>
          <w:b/>
          <w:bCs/>
        </w:rPr>
        <w:t xml:space="preserve">4.5.1 </w:t>
      </w:r>
      <w:r>
        <w:t xml:space="preserve">A tax payer should try to determine transfer prices for tax purposes in accordance with the arm’s length principles based on the information reasonably available at the time of determination. The application of these principles will require the taxpayer to prepare written material that could serve as documentation of the efforts undertaken to comply with the arm’s length principles, including the information on which transfer pricing was based, the factors taken into account and the methods selected. </w:t>
      </w:r>
      <w:proofErr w:type="gramStart"/>
      <w:r>
        <w:t>Thus  tax</w:t>
      </w:r>
      <w:proofErr w:type="gramEnd"/>
      <w:r>
        <w:t xml:space="preserve"> administration would  expect taxpayers to prepare  and to produce such documents during examination of cases  of transfer pricing , and to retain such material  till finalisation of assessment or enquiry.</w:t>
      </w:r>
    </w:p>
    <w:p w:rsidR="00EC74B3" w:rsidRDefault="00EC74B3">
      <w:pPr>
        <w:spacing w:line="360" w:lineRule="auto"/>
        <w:jc w:val="both"/>
      </w:pPr>
      <w:r>
        <w:rPr>
          <w:b/>
          <w:bCs/>
        </w:rPr>
        <w:t xml:space="preserve">4.5.2 </w:t>
      </w:r>
      <w:r>
        <w:t xml:space="preserve">Thus, documentation is an important issue in cases where transactions are entered into between two </w:t>
      </w:r>
      <w:proofErr w:type="gramStart"/>
      <w:r>
        <w:t>associated  enterprises</w:t>
      </w:r>
      <w:proofErr w:type="gramEnd"/>
      <w:r>
        <w:t xml:space="preserve">  in two different tax jurisdictions . The tax administration and taxpayer should also </w:t>
      </w:r>
      <w:proofErr w:type="gramStart"/>
      <w:r>
        <w:t>have  to</w:t>
      </w:r>
      <w:proofErr w:type="gramEnd"/>
      <w:r>
        <w:t xml:space="preserve"> show that their determinations of transfer pricing are consistent with the ‘arm’s length’ principles regardless of where the burden of proof lies. The burden of proof should not be used either by the tax administration or taxpayer as a justification for making unverifiable assertion about transfer pricing. </w:t>
      </w:r>
    </w:p>
    <w:p w:rsidR="00EC74B3" w:rsidRDefault="00EC74B3">
      <w:pPr>
        <w:spacing w:line="360" w:lineRule="auto"/>
        <w:jc w:val="both"/>
        <w:rPr>
          <w:b/>
        </w:rPr>
      </w:pPr>
      <w:r>
        <w:rPr>
          <w:b/>
          <w:bCs/>
        </w:rPr>
        <w:t xml:space="preserve">4.5.3 </w:t>
      </w:r>
      <w:r>
        <w:t xml:space="preserve">The Group is of the </w:t>
      </w:r>
      <w:proofErr w:type="gramStart"/>
      <w:r>
        <w:t>view  that</w:t>
      </w:r>
      <w:proofErr w:type="gramEnd"/>
      <w:r>
        <w:t xml:space="preserve"> before considering the level of compliance in regard to documentation it is necessary to balance its need for the revenue against the cost and administrative burden to the taxpayer. </w:t>
      </w:r>
    </w:p>
    <w:p w:rsidR="00EC74B3" w:rsidRDefault="00EC74B3">
      <w:pPr>
        <w:spacing w:line="360" w:lineRule="auto"/>
        <w:jc w:val="both"/>
      </w:pPr>
      <w:r>
        <w:rPr>
          <w:b/>
        </w:rPr>
        <w:t>OECD Transfer Pricing Guidelines:</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4.5.4 </w:t>
      </w:r>
      <w:r>
        <w:rPr>
          <w:rFonts w:ascii="Times New Roman" w:hAnsi="Times New Roman" w:cs="Times New Roman"/>
          <w:b w:val="0"/>
          <w:bCs w:val="0"/>
          <w:lang w:val="en-GB"/>
        </w:rPr>
        <w:t xml:space="preserve">Chapter V of the 1995 Transfer Pricing Guidelines for Multinational Enterprises and Tax Administrations lists the general guidelines that could be followed by tax authorities while developing the rules and/or procedures on documentation to be </w:t>
      </w:r>
      <w:r>
        <w:rPr>
          <w:rFonts w:ascii="Times New Roman" w:hAnsi="Times New Roman" w:cs="Times New Roman"/>
          <w:b w:val="0"/>
          <w:bCs w:val="0"/>
          <w:lang w:val="en-GB"/>
        </w:rPr>
        <w:lastRenderedPageBreak/>
        <w:t xml:space="preserve">obtained from taxpayers, in connection with a transfer pricing enquiry. The </w:t>
      </w:r>
      <w:proofErr w:type="gramStart"/>
      <w:r>
        <w:rPr>
          <w:rFonts w:ascii="Times New Roman" w:hAnsi="Times New Roman" w:cs="Times New Roman"/>
          <w:b w:val="0"/>
          <w:bCs w:val="0"/>
          <w:lang w:val="en-GB"/>
        </w:rPr>
        <w:t>guidelines recommends</w:t>
      </w:r>
      <w:proofErr w:type="gramEnd"/>
      <w:r>
        <w:rPr>
          <w:rFonts w:ascii="Times New Roman" w:hAnsi="Times New Roman" w:cs="Times New Roman"/>
          <w:b w:val="0"/>
          <w:bCs w:val="0"/>
          <w:lang w:val="en-GB"/>
        </w:rPr>
        <w:t xml:space="preserve"> that the following information could be obtained by the tax authorities.</w:t>
      </w:r>
    </w:p>
    <w:p w:rsidR="00EC74B3" w:rsidRDefault="00EC74B3" w:rsidP="005077F7">
      <w:pPr>
        <w:pStyle w:val="BodyText2"/>
        <w:numPr>
          <w:ilvl w:val="3"/>
          <w:numId w:val="44"/>
        </w:numPr>
        <w:tabs>
          <w:tab w:val="num" w:pos="1260"/>
        </w:tabs>
        <w:spacing w:line="360" w:lineRule="auto"/>
        <w:ind w:left="1260"/>
        <w:jc w:val="both"/>
        <w:rPr>
          <w:rFonts w:ascii="Times New Roman" w:hAnsi="Times New Roman" w:cs="Times New Roman"/>
          <w:b w:val="0"/>
          <w:bCs w:val="0"/>
          <w:lang w:val="en-GB"/>
        </w:rPr>
      </w:pPr>
      <w:r>
        <w:rPr>
          <w:rFonts w:ascii="Times New Roman" w:hAnsi="Times New Roman" w:cs="Times New Roman"/>
          <w:b w:val="0"/>
          <w:bCs w:val="0"/>
          <w:lang w:val="en-GB"/>
        </w:rPr>
        <w:t>Information about associated enterprises involved, the transactions at issue, the functions performed, information derived from independent enterprises engaged in similar transaction or businesses etc.</w:t>
      </w:r>
    </w:p>
    <w:p w:rsidR="00EC74B3" w:rsidRDefault="00EC74B3" w:rsidP="005077F7">
      <w:pPr>
        <w:pStyle w:val="BodyText2"/>
        <w:numPr>
          <w:ilvl w:val="3"/>
          <w:numId w:val="44"/>
        </w:numPr>
        <w:tabs>
          <w:tab w:val="num" w:pos="1260"/>
        </w:tabs>
        <w:spacing w:line="360" w:lineRule="auto"/>
        <w:ind w:left="1260"/>
        <w:jc w:val="both"/>
        <w:rPr>
          <w:rFonts w:ascii="Times New Roman" w:hAnsi="Times New Roman" w:cs="Times New Roman"/>
          <w:b w:val="0"/>
          <w:bCs w:val="0"/>
          <w:lang w:val="en-GB"/>
        </w:rPr>
      </w:pPr>
      <w:r>
        <w:rPr>
          <w:rFonts w:ascii="Times New Roman" w:hAnsi="Times New Roman" w:cs="Times New Roman"/>
          <w:b w:val="0"/>
          <w:bCs w:val="0"/>
          <w:lang w:val="en-GB"/>
        </w:rPr>
        <w:t>Nature and terms of transactions, economic conditions and properly involved in the transactions, how the product or service that is the subject of the controlled transaction flows among the associated enterprises.</w:t>
      </w:r>
    </w:p>
    <w:p w:rsidR="00EC74B3" w:rsidRDefault="00EC74B3" w:rsidP="005077F7">
      <w:pPr>
        <w:pStyle w:val="BodyText2"/>
        <w:numPr>
          <w:ilvl w:val="3"/>
          <w:numId w:val="44"/>
        </w:numPr>
        <w:tabs>
          <w:tab w:val="num" w:pos="1260"/>
        </w:tabs>
        <w:spacing w:line="360" w:lineRule="auto"/>
        <w:ind w:left="1260"/>
        <w:jc w:val="both"/>
        <w:rPr>
          <w:rFonts w:ascii="Times New Roman" w:hAnsi="Times New Roman" w:cs="Times New Roman"/>
          <w:b w:val="0"/>
          <w:bCs w:val="0"/>
          <w:lang w:val="en-GB"/>
        </w:rPr>
      </w:pPr>
      <w:r>
        <w:rPr>
          <w:rFonts w:ascii="Times New Roman" w:hAnsi="Times New Roman" w:cs="Times New Roman"/>
          <w:b w:val="0"/>
          <w:bCs w:val="0"/>
          <w:lang w:val="en-GB"/>
        </w:rPr>
        <w:t>In relation to each associated enterprises involved in the transactions:</w:t>
      </w:r>
    </w:p>
    <w:p w:rsidR="00EC74B3" w:rsidRDefault="00EC74B3" w:rsidP="005077F7">
      <w:pPr>
        <w:numPr>
          <w:ilvl w:val="0"/>
          <w:numId w:val="8"/>
        </w:numPr>
        <w:tabs>
          <w:tab w:val="num" w:pos="1080"/>
        </w:tabs>
        <w:spacing w:line="360" w:lineRule="auto"/>
        <w:ind w:left="1080"/>
      </w:pPr>
      <w:r>
        <w:t>outline of the business;</w:t>
      </w:r>
    </w:p>
    <w:p w:rsidR="00EC74B3" w:rsidRDefault="00EC74B3" w:rsidP="005077F7">
      <w:pPr>
        <w:numPr>
          <w:ilvl w:val="0"/>
          <w:numId w:val="9"/>
        </w:numPr>
        <w:tabs>
          <w:tab w:val="clear" w:pos="360"/>
          <w:tab w:val="num" w:pos="1080"/>
        </w:tabs>
        <w:spacing w:line="360" w:lineRule="auto"/>
        <w:ind w:left="1080"/>
      </w:pPr>
      <w:r>
        <w:t>structure of the organisation;</w:t>
      </w:r>
    </w:p>
    <w:p w:rsidR="00EC74B3" w:rsidRDefault="00EC74B3" w:rsidP="005077F7">
      <w:pPr>
        <w:numPr>
          <w:ilvl w:val="0"/>
          <w:numId w:val="10"/>
        </w:numPr>
        <w:tabs>
          <w:tab w:val="num" w:pos="1080"/>
        </w:tabs>
        <w:spacing w:line="360" w:lineRule="auto"/>
        <w:ind w:left="1080"/>
      </w:pPr>
      <w:r>
        <w:t>ownership linkages within the group;</w:t>
      </w:r>
    </w:p>
    <w:p w:rsidR="00EC74B3" w:rsidRDefault="00EC74B3" w:rsidP="005077F7">
      <w:pPr>
        <w:numPr>
          <w:ilvl w:val="0"/>
          <w:numId w:val="11"/>
        </w:numPr>
        <w:tabs>
          <w:tab w:val="num" w:pos="1080"/>
        </w:tabs>
        <w:spacing w:line="360" w:lineRule="auto"/>
        <w:ind w:left="1080"/>
      </w:pPr>
      <w:r>
        <w:t xml:space="preserve">sales and operating results from the last few years preceding the transaction; and </w:t>
      </w:r>
    </w:p>
    <w:p w:rsidR="00EC74B3" w:rsidRDefault="00EC74B3" w:rsidP="005077F7">
      <w:pPr>
        <w:numPr>
          <w:ilvl w:val="0"/>
          <w:numId w:val="12"/>
        </w:numPr>
        <w:tabs>
          <w:tab w:val="num" w:pos="1140"/>
        </w:tabs>
        <w:spacing w:line="360" w:lineRule="auto"/>
        <w:ind w:left="1080"/>
      </w:pPr>
      <w:proofErr w:type="gramStart"/>
      <w:r>
        <w:t>level</w:t>
      </w:r>
      <w:proofErr w:type="gramEnd"/>
      <w:r>
        <w:t xml:space="preserve"> of taxpayer’s transactions with foreign associated enterprises.</w:t>
      </w:r>
    </w:p>
    <w:p w:rsidR="00EC74B3" w:rsidRDefault="00EC74B3">
      <w:pPr>
        <w:spacing w:line="360" w:lineRule="auto"/>
      </w:pPr>
    </w:p>
    <w:p w:rsidR="00EC74B3" w:rsidRDefault="00EC74B3" w:rsidP="005077F7">
      <w:pPr>
        <w:numPr>
          <w:ilvl w:val="3"/>
          <w:numId w:val="44"/>
        </w:numPr>
        <w:tabs>
          <w:tab w:val="num" w:pos="1260"/>
        </w:tabs>
        <w:spacing w:line="360" w:lineRule="auto"/>
        <w:ind w:left="1080"/>
        <w:jc w:val="both"/>
      </w:pPr>
      <w:r>
        <w:t>Information about pricing including business strategies and other special   circumstances, such as management strategy or the type of business.</w:t>
      </w:r>
    </w:p>
    <w:p w:rsidR="00EC74B3" w:rsidRDefault="00EC74B3" w:rsidP="005077F7">
      <w:pPr>
        <w:numPr>
          <w:ilvl w:val="3"/>
          <w:numId w:val="44"/>
        </w:numPr>
        <w:tabs>
          <w:tab w:val="num" w:pos="1260"/>
        </w:tabs>
        <w:spacing w:line="360" w:lineRule="auto"/>
        <w:ind w:left="1080"/>
        <w:jc w:val="both"/>
      </w:pPr>
      <w:r>
        <w:t>Information about general commercial and industry conditions affecting    the taxpayer.</w:t>
      </w:r>
    </w:p>
    <w:p w:rsidR="00EC74B3" w:rsidRDefault="00EC74B3" w:rsidP="005077F7">
      <w:pPr>
        <w:numPr>
          <w:ilvl w:val="3"/>
          <w:numId w:val="44"/>
        </w:numPr>
        <w:tabs>
          <w:tab w:val="num" w:pos="1260"/>
        </w:tabs>
        <w:spacing w:line="360" w:lineRule="auto"/>
        <w:ind w:left="1080"/>
        <w:jc w:val="both"/>
      </w:pPr>
      <w:r>
        <w:t>Information about functions performed (such as manufacturing, assembly, advertising and marketing, stock control, lending and payment terms, etc.)</w:t>
      </w:r>
    </w:p>
    <w:p w:rsidR="00EC74B3" w:rsidRDefault="00EC74B3" w:rsidP="005077F7">
      <w:pPr>
        <w:numPr>
          <w:ilvl w:val="3"/>
          <w:numId w:val="44"/>
        </w:numPr>
        <w:tabs>
          <w:tab w:val="num" w:pos="1260"/>
        </w:tabs>
        <w:spacing w:line="360" w:lineRule="auto"/>
        <w:ind w:left="1080"/>
        <w:jc w:val="both"/>
      </w:pPr>
      <w:r>
        <w:t>Information about impact of risk on the determination of the transaction price. (The risk could include, inter alia, risks of change in cost, price or stock, changes in foreign exchange rates, interest rates, etc.)</w:t>
      </w:r>
    </w:p>
    <w:p w:rsidR="00EC74B3" w:rsidRDefault="00EC74B3" w:rsidP="005077F7">
      <w:pPr>
        <w:numPr>
          <w:ilvl w:val="3"/>
          <w:numId w:val="44"/>
        </w:numPr>
        <w:tabs>
          <w:tab w:val="num" w:pos="1260"/>
        </w:tabs>
        <w:spacing w:line="360" w:lineRule="auto"/>
        <w:ind w:left="1080"/>
        <w:jc w:val="both"/>
      </w:pPr>
      <w:r>
        <w:t>Financial information (such as profit and loss statements of the associated enterprise).</w:t>
      </w:r>
    </w:p>
    <w:p w:rsidR="00EC74B3" w:rsidRDefault="00EC74B3" w:rsidP="005077F7">
      <w:pPr>
        <w:numPr>
          <w:ilvl w:val="3"/>
          <w:numId w:val="44"/>
        </w:numPr>
        <w:tabs>
          <w:tab w:val="num" w:pos="1260"/>
        </w:tabs>
        <w:spacing w:line="360" w:lineRule="auto"/>
        <w:ind w:left="1080"/>
        <w:jc w:val="both"/>
      </w:pPr>
      <w:r>
        <w:t>Documents showing the process of negotiations for determining or revising prices in controlled transactions.</w:t>
      </w:r>
    </w:p>
    <w:p w:rsidR="00EC74B3" w:rsidRDefault="00EC74B3">
      <w:pPr>
        <w:spacing w:line="360" w:lineRule="auto"/>
        <w:ind w:firstLine="720"/>
        <w:jc w:val="both"/>
      </w:pPr>
      <w:r>
        <w:lastRenderedPageBreak/>
        <w:t>However, the OECD guidelines do not specify whether the above documentation is required to be submitted at the time of filing the return of income or at the time of assessment.</w:t>
      </w:r>
    </w:p>
    <w:p w:rsidR="00EC74B3" w:rsidRDefault="00EC74B3">
      <w:pPr>
        <w:spacing w:line="360" w:lineRule="auto"/>
        <w:jc w:val="both"/>
        <w:rPr>
          <w:b/>
        </w:rPr>
      </w:pPr>
      <w:r>
        <w:rPr>
          <w:b/>
          <w:bCs/>
        </w:rPr>
        <w:t xml:space="preserve">4.5.5 </w:t>
      </w:r>
      <w:r>
        <w:t xml:space="preserve">Documentation requirements for assessment of cases involving transfer pricing are also incorporated in various international legislations. The group has examined the guidelines and requirements prescribed in this regard by some countries.   The study shows that in many countries categories of documents required are well defined in transfer pricing provisions and are to be filed either with return of  income or at the stage of inquiry.  In the latter case the   </w:t>
      </w:r>
      <w:proofErr w:type="gramStart"/>
      <w:r>
        <w:t>contemporaneous  documents</w:t>
      </w:r>
      <w:proofErr w:type="gramEnd"/>
      <w:r>
        <w:t xml:space="preserve"> are required to be maintained by the taxpayer and to be furnished after notice of inquiry is issued.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4.5.6 </w:t>
      </w:r>
      <w:r>
        <w:rPr>
          <w:rFonts w:ascii="Times New Roman" w:hAnsi="Times New Roman" w:cs="Times New Roman"/>
          <w:b w:val="0"/>
          <w:bCs w:val="0"/>
          <w:lang w:val="en-GB"/>
        </w:rPr>
        <w:t>The US Regulations in relation to transfer pricing, set out in detail the documentation requirements that must be satisfied to avoid tax based penalty in the event of significant adjustment.</w:t>
      </w:r>
    </w:p>
    <w:p w:rsidR="00EC74B3" w:rsidRDefault="00EC74B3">
      <w:pPr>
        <w:pStyle w:val="BodyText2"/>
        <w:spacing w:line="360" w:lineRule="auto"/>
        <w:rPr>
          <w:rFonts w:ascii="Times New Roman" w:hAnsi="Times New Roman" w:cs="Times New Roman"/>
          <w:b w:val="0"/>
          <w:bCs w:val="0"/>
          <w:lang w:val="en-GB"/>
        </w:rPr>
      </w:pP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The key documentation must include the following:</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An overview of the taxpayer’s business;</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 description of the taxpayer’s organisational structure (including an organisation chart) covering all related parties engaged in transactions potentially relevant, including foreign affiliates whose transactions directly  or indirectly affect the pricing of property or services in the US;</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Any documentation explicitly required by the Regulation;</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 description of the method selected (and an explanation of why that method was selected);</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 description of the alternative methods that were considered (and an explanation of why they were not selected)</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 description of the controlled transactions (including the terms of sale and any internal data used to analyse those transactions);</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 description of the comparables that were used, how comparability was evaluated, and what (if any) adjustments were made;</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An explanation of the economic analysis and projections relied upon in developing the method;</w:t>
      </w:r>
    </w:p>
    <w:p w:rsidR="00EC74B3" w:rsidRDefault="00EC74B3" w:rsidP="005077F7">
      <w:pPr>
        <w:pStyle w:val="BodyText2"/>
        <w:numPr>
          <w:ilvl w:val="0"/>
          <w:numId w:val="15"/>
        </w:numPr>
        <w:tabs>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 xml:space="preserve">A description or summary of any relevant data that the taxpayer obtains after the end of the tax year and before filing a tax return, which would help </w:t>
      </w:r>
      <w:r>
        <w:rPr>
          <w:rFonts w:ascii="Times New Roman" w:hAnsi="Times New Roman" w:cs="Times New Roman"/>
          <w:b w:val="0"/>
          <w:bCs w:val="0"/>
          <w:lang w:val="en-GB"/>
        </w:rPr>
        <w:lastRenderedPageBreak/>
        <w:t>determine if a taxpayer selected and applied a specified method sin a reasonable manner; and</w:t>
      </w:r>
    </w:p>
    <w:p w:rsidR="00EC74B3" w:rsidRDefault="00EC74B3" w:rsidP="005077F7">
      <w:pPr>
        <w:pStyle w:val="BodyText2"/>
        <w:numPr>
          <w:ilvl w:val="0"/>
          <w:numId w:val="15"/>
        </w:numPr>
        <w:tabs>
          <w:tab w:val="left" w:pos="810"/>
          <w:tab w:val="num" w:pos="1140"/>
        </w:tabs>
        <w:spacing w:line="360" w:lineRule="auto"/>
        <w:ind w:left="720"/>
        <w:jc w:val="both"/>
        <w:rPr>
          <w:rFonts w:ascii="Times New Roman" w:hAnsi="Times New Roman" w:cs="Times New Roman"/>
          <w:b w:val="0"/>
          <w:bCs w:val="0"/>
          <w:lang w:val="en-GB"/>
        </w:rPr>
      </w:pPr>
      <w:r>
        <w:rPr>
          <w:rFonts w:ascii="Times New Roman" w:hAnsi="Times New Roman" w:cs="Times New Roman"/>
          <w:b w:val="0"/>
          <w:bCs w:val="0"/>
          <w:lang w:val="en-GB"/>
        </w:rPr>
        <w:t xml:space="preserve">A general index of the principal and background documents and a description of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           </w:t>
      </w:r>
      <w:proofErr w:type="gramStart"/>
      <w:r>
        <w:rPr>
          <w:rFonts w:ascii="Times New Roman" w:hAnsi="Times New Roman" w:cs="Times New Roman"/>
          <w:b w:val="0"/>
          <w:bCs w:val="0"/>
          <w:lang w:val="en-GB"/>
        </w:rPr>
        <w:t>the</w:t>
      </w:r>
      <w:proofErr w:type="gramEnd"/>
      <w:r>
        <w:rPr>
          <w:rFonts w:ascii="Times New Roman" w:hAnsi="Times New Roman" w:cs="Times New Roman"/>
          <w:b w:val="0"/>
          <w:bCs w:val="0"/>
          <w:lang w:val="en-GB"/>
        </w:rPr>
        <w:t xml:space="preserve"> record-keeping system used for cataloguing and accessing those documents.  </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However, it would be relevant to note that the principal documents above would be based on, and supported by, additional background documents the nature and extent of which would depend on the facts and circumstances of the case.</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 xml:space="preserve">The above documentation is to be made available to the tax authorities only if requested at the time of assessment of the </w:t>
      </w:r>
      <w:proofErr w:type="gramStart"/>
      <w:r>
        <w:rPr>
          <w:rFonts w:ascii="Times New Roman" w:hAnsi="Times New Roman" w:cs="Times New Roman"/>
          <w:b w:val="0"/>
          <w:bCs w:val="0"/>
          <w:lang w:val="en-GB"/>
        </w:rPr>
        <w:t>taxpayers</w:t>
      </w:r>
      <w:proofErr w:type="gramEnd"/>
      <w:r>
        <w:rPr>
          <w:rFonts w:ascii="Times New Roman" w:hAnsi="Times New Roman" w:cs="Times New Roman"/>
          <w:b w:val="0"/>
          <w:bCs w:val="0"/>
          <w:lang w:val="en-GB"/>
        </w:rPr>
        <w:t xml:space="preserve"> return of income.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4.5.7 </w:t>
      </w:r>
      <w:r>
        <w:rPr>
          <w:rFonts w:ascii="Times New Roman" w:hAnsi="Times New Roman" w:cs="Times New Roman"/>
          <w:b w:val="0"/>
          <w:bCs w:val="0"/>
          <w:lang w:val="en-GB"/>
        </w:rPr>
        <w:t>UK follows the OECD guidelines in most transfer pricing respects but has supplemented this with a press release giving guidance on documentation generally. The law requires that taxpayers should keep and preserve the records needed to make and deliver a correct and complete return for any chargeable period.  The Transfer pricing rules further provide that where arrangements continue in force for more than one return period (such as a distribution agreement lasting several years), there is no need to prepare fresh documentation for each return period, provided the original documentation is sufficient to demonstrate that the taxpayer has made a complete and correct return for that later period. Any significant changes in the nature or terms of the transactions in question should be recorded.</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 xml:space="preserve">The above documentation should exist at the latest by the time the return is made. However, the documentation is to be made available to the tax authorities only if specifically requested. </w:t>
      </w:r>
    </w:p>
    <w:p w:rsidR="00EC74B3" w:rsidRDefault="00EC74B3">
      <w:pPr>
        <w:spacing w:line="360" w:lineRule="auto"/>
        <w:jc w:val="both"/>
      </w:pPr>
      <w:r>
        <w:rPr>
          <w:b/>
          <w:bCs/>
        </w:rPr>
        <w:t xml:space="preserve">4.5.8 </w:t>
      </w:r>
      <w:r>
        <w:t xml:space="preserve">The Chinese Government has issued the “Administration of Tax on Business Transactions </w:t>
      </w:r>
      <w:proofErr w:type="gramStart"/>
      <w:r>
        <w:t>Between</w:t>
      </w:r>
      <w:proofErr w:type="gramEnd"/>
      <w:r>
        <w:t xml:space="preserve"> Affiliated Enterprises Rules (Trial Implementation)’” (‘Rules’) in April 1998 to standardise procedures followed by the tax authorities to examine business transactions between associated enterprises.</w:t>
      </w:r>
    </w:p>
    <w:p w:rsidR="00EC74B3" w:rsidRDefault="00EC74B3">
      <w:pPr>
        <w:spacing w:line="360" w:lineRule="auto"/>
        <w:ind w:firstLine="720"/>
        <w:jc w:val="both"/>
      </w:pPr>
      <w:r>
        <w:t>The Rules permit that the tax authorities can ask for information such as the price and fee standards for the relevant transactions. Additionally they can request for timely information to be filed including:</w:t>
      </w:r>
    </w:p>
    <w:p w:rsidR="00EC74B3" w:rsidRDefault="00EC74B3" w:rsidP="005077F7">
      <w:pPr>
        <w:numPr>
          <w:ilvl w:val="0"/>
          <w:numId w:val="13"/>
        </w:numPr>
        <w:spacing w:line="360" w:lineRule="auto"/>
        <w:jc w:val="both"/>
      </w:pPr>
      <w:proofErr w:type="gramStart"/>
      <w:r>
        <w:t>details</w:t>
      </w:r>
      <w:proofErr w:type="gramEnd"/>
      <w:r>
        <w:t xml:space="preserve"> of transactions with affiliated enterprises and third parties, eg. Sales and purchases, borrowing and lending of funds, provisions of services, assignment of </w:t>
      </w:r>
      <w:r>
        <w:lastRenderedPageBreak/>
        <w:t>tangible and intangible property and provision of the right to use tangible and intangible property etc.</w:t>
      </w:r>
    </w:p>
    <w:p w:rsidR="00EC74B3" w:rsidRDefault="00EC74B3" w:rsidP="005077F7">
      <w:pPr>
        <w:numPr>
          <w:ilvl w:val="0"/>
          <w:numId w:val="13"/>
        </w:numPr>
        <w:spacing w:line="360" w:lineRule="auto"/>
        <w:jc w:val="both"/>
      </w:pPr>
      <w:proofErr w:type="gramStart"/>
      <w:r>
        <w:t>breakdown</w:t>
      </w:r>
      <w:proofErr w:type="gramEnd"/>
      <w:r>
        <w:t xml:space="preserve"> of price factors, eg. Quantity, place, form, trademark, method of payment etc. involved in transactions; and</w:t>
      </w:r>
    </w:p>
    <w:p w:rsidR="00EC74B3" w:rsidRDefault="00EC74B3" w:rsidP="005077F7">
      <w:pPr>
        <w:numPr>
          <w:ilvl w:val="0"/>
          <w:numId w:val="13"/>
        </w:numPr>
        <w:spacing w:line="360" w:lineRule="auto"/>
        <w:jc w:val="both"/>
      </w:pPr>
      <w:proofErr w:type="gramStart"/>
      <w:r>
        <w:t>other</w:t>
      </w:r>
      <w:proofErr w:type="gramEnd"/>
      <w:r>
        <w:t xml:space="preserve"> relevant information concerning determination of the basis for the transaction prices or fees.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4.5.9 </w:t>
      </w:r>
      <w:r>
        <w:rPr>
          <w:rFonts w:ascii="Times New Roman" w:hAnsi="Times New Roman" w:cs="Times New Roman"/>
          <w:b w:val="0"/>
          <w:bCs w:val="0"/>
          <w:lang w:val="en-GB"/>
        </w:rPr>
        <w:t>The international Tax Coordination Law of Korea (that includes Transfer Pricing Rules) has established rules regarding documentation to be submitted to the tax authorities. The rules state that while prescribing the obligation of taxpayers engaged in international transactions to submit necessary documents to the tax authorities. These rules do not exhaustively stipulate the documents which are required to be filed with the tax authorities, but lay down broad guidelines which are as under:</w:t>
      </w:r>
    </w:p>
    <w:p w:rsidR="00EC74B3" w:rsidRDefault="00EC74B3" w:rsidP="005077F7">
      <w:pPr>
        <w:pStyle w:val="BodyText2"/>
        <w:numPr>
          <w:ilvl w:val="0"/>
          <w:numId w:val="14"/>
        </w:numPr>
        <w:tabs>
          <w:tab w:val="num" w:pos="1260"/>
          <w:tab w:val="num" w:pos="2160"/>
        </w:tabs>
        <w:spacing w:line="360" w:lineRule="auto"/>
        <w:ind w:left="540"/>
        <w:jc w:val="both"/>
        <w:rPr>
          <w:rFonts w:ascii="Times New Roman" w:hAnsi="Times New Roman" w:cs="Times New Roman"/>
          <w:b w:val="0"/>
          <w:bCs w:val="0"/>
          <w:lang w:val="en-GB"/>
        </w:rPr>
      </w:pPr>
      <w:r>
        <w:rPr>
          <w:rFonts w:ascii="Times New Roman" w:hAnsi="Times New Roman" w:cs="Times New Roman"/>
          <w:b w:val="0"/>
          <w:bCs w:val="0"/>
          <w:lang w:val="en-GB"/>
        </w:rPr>
        <w:t>A taxpayer engaged in international transactions with a foreign related party shall submit a “schedule of international transactions,” as may be prescribed, to the tax authorities by the due date of filing a tax return as specified.</w:t>
      </w:r>
      <w:r>
        <w:rPr>
          <w:rFonts w:ascii="Times New Roman" w:hAnsi="Times New Roman" w:cs="Times New Roman"/>
          <w:b w:val="0"/>
          <w:bCs w:val="0"/>
          <w:lang w:val="en-GB"/>
        </w:rPr>
        <w:tab/>
      </w:r>
    </w:p>
    <w:p w:rsidR="00EC74B3" w:rsidRDefault="00EC74B3" w:rsidP="005077F7">
      <w:pPr>
        <w:pStyle w:val="BodyText2"/>
        <w:numPr>
          <w:ilvl w:val="0"/>
          <w:numId w:val="14"/>
        </w:numPr>
        <w:tabs>
          <w:tab w:val="num" w:pos="1260"/>
          <w:tab w:val="num" w:pos="2160"/>
        </w:tabs>
        <w:spacing w:line="360" w:lineRule="auto"/>
        <w:ind w:left="540"/>
        <w:jc w:val="both"/>
        <w:rPr>
          <w:rFonts w:ascii="Times New Roman" w:hAnsi="Times New Roman" w:cs="Times New Roman"/>
          <w:b w:val="0"/>
          <w:bCs w:val="0"/>
          <w:lang w:val="en-GB"/>
        </w:rPr>
      </w:pPr>
      <w:r>
        <w:rPr>
          <w:rFonts w:ascii="Times New Roman" w:hAnsi="Times New Roman" w:cs="Times New Roman"/>
          <w:b w:val="0"/>
          <w:bCs w:val="0"/>
          <w:lang w:val="en-GB"/>
        </w:rPr>
        <w:t>The tax authorities may also request taxpayers to submit documents necessary for the application of provisions of the Rules, such as documents relating to the method used in determining the transaction prices etc.</w:t>
      </w:r>
    </w:p>
    <w:p w:rsidR="00EC74B3" w:rsidRDefault="00EC74B3">
      <w:pPr>
        <w:pStyle w:val="BodyText2"/>
        <w:spacing w:line="360" w:lineRule="auto"/>
        <w:jc w:val="both"/>
        <w:rPr>
          <w:rFonts w:ascii="Times New Roman" w:hAnsi="Times New Roman" w:cs="Times New Roman"/>
          <w:b w:val="0"/>
          <w:bCs w:val="0"/>
          <w:lang w:val="en-GB"/>
        </w:rPr>
      </w:pPr>
      <w:proofErr w:type="gramStart"/>
      <w:r>
        <w:rPr>
          <w:rFonts w:ascii="Times New Roman" w:hAnsi="Times New Roman" w:cs="Times New Roman"/>
          <w:lang w:val="en-GB"/>
        </w:rPr>
        <w:t xml:space="preserve">4.5.10  </w:t>
      </w:r>
      <w:r>
        <w:rPr>
          <w:rFonts w:ascii="Times New Roman" w:hAnsi="Times New Roman" w:cs="Times New Roman"/>
          <w:b w:val="0"/>
          <w:bCs w:val="0"/>
          <w:lang w:val="en-GB"/>
        </w:rPr>
        <w:t>The</w:t>
      </w:r>
      <w:proofErr w:type="gramEnd"/>
      <w:r>
        <w:rPr>
          <w:rFonts w:ascii="Times New Roman" w:hAnsi="Times New Roman" w:cs="Times New Roman"/>
          <w:b w:val="0"/>
          <w:bCs w:val="0"/>
          <w:lang w:val="en-GB"/>
        </w:rPr>
        <w:t xml:space="preserve"> members of the Group are of the view that based on international experience, and the legislation in this regard, we should have documentation guidelines which are easier to comply by the taxpayers and also simple to administer by tax authorities.</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In our view, the documentation requirements can be segregated into following stages:</w:t>
      </w:r>
    </w:p>
    <w:p w:rsidR="00EC74B3" w:rsidRDefault="00EC74B3" w:rsidP="005077F7">
      <w:pPr>
        <w:pStyle w:val="BodyText2"/>
        <w:numPr>
          <w:ilvl w:val="0"/>
          <w:numId w:val="19"/>
        </w:numPr>
        <w:tabs>
          <w:tab w:val="clear" w:pos="1728"/>
        </w:tabs>
        <w:spacing w:line="360" w:lineRule="auto"/>
        <w:ind w:left="1260" w:hanging="540"/>
        <w:jc w:val="both"/>
        <w:rPr>
          <w:rFonts w:ascii="Times New Roman" w:hAnsi="Times New Roman" w:cs="Times New Roman"/>
          <w:b w:val="0"/>
          <w:bCs w:val="0"/>
          <w:lang w:val="en-GB"/>
        </w:rPr>
      </w:pPr>
      <w:r>
        <w:rPr>
          <w:rFonts w:ascii="Times New Roman" w:hAnsi="Times New Roman" w:cs="Times New Roman"/>
          <w:b w:val="0"/>
          <w:bCs w:val="0"/>
          <w:lang w:val="en-GB"/>
        </w:rPr>
        <w:t>the  information  which the taxpayer has to file along with the return of income or with audit report</w:t>
      </w:r>
    </w:p>
    <w:p w:rsidR="00EC74B3" w:rsidRDefault="00EC74B3" w:rsidP="005077F7">
      <w:pPr>
        <w:pStyle w:val="BodyText2"/>
        <w:numPr>
          <w:ilvl w:val="0"/>
          <w:numId w:val="19"/>
        </w:numPr>
        <w:tabs>
          <w:tab w:val="clear" w:pos="1728"/>
        </w:tabs>
        <w:spacing w:line="360" w:lineRule="auto"/>
        <w:ind w:left="1260" w:hanging="540"/>
        <w:jc w:val="both"/>
        <w:rPr>
          <w:rFonts w:ascii="Times New Roman" w:hAnsi="Times New Roman" w:cs="Times New Roman"/>
          <w:b w:val="0"/>
          <w:bCs w:val="0"/>
          <w:lang w:val="en-GB"/>
        </w:rPr>
      </w:pPr>
      <w:r>
        <w:rPr>
          <w:rFonts w:ascii="Times New Roman" w:hAnsi="Times New Roman" w:cs="Times New Roman"/>
          <w:b w:val="0"/>
          <w:bCs w:val="0"/>
          <w:lang w:val="en-GB"/>
        </w:rPr>
        <w:t>the documents which  may be required to be produced after a notice of enquiry is issued by officer investigating the transactions of transfer pricing</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Preliminary Information</w:t>
      </w:r>
      <w:r>
        <w:rPr>
          <w:rFonts w:ascii="Times New Roman" w:hAnsi="Times New Roman" w:cs="Times New Roman"/>
          <w:b w:val="0"/>
          <w:bCs w:val="0"/>
          <w:lang w:val="en-GB"/>
        </w:rPr>
        <w:t xml:space="preserve">: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4.5.11 </w:t>
      </w:r>
      <w:r>
        <w:rPr>
          <w:rFonts w:ascii="Times New Roman" w:hAnsi="Times New Roman" w:cs="Times New Roman"/>
          <w:b w:val="0"/>
          <w:bCs w:val="0"/>
          <w:lang w:val="en-GB"/>
        </w:rPr>
        <w:t xml:space="preserve">In case the taxpayer has any transactions with related parties, he should submit a list containing the names and addresses of its related </w:t>
      </w:r>
      <w:proofErr w:type="gramStart"/>
      <w:r>
        <w:rPr>
          <w:rFonts w:ascii="Times New Roman" w:hAnsi="Times New Roman" w:cs="Times New Roman"/>
          <w:b w:val="0"/>
          <w:bCs w:val="0"/>
          <w:lang w:val="en-GB"/>
        </w:rPr>
        <w:t>parties</w:t>
      </w:r>
      <w:proofErr w:type="gramEnd"/>
      <w:r>
        <w:rPr>
          <w:rFonts w:ascii="Times New Roman" w:hAnsi="Times New Roman" w:cs="Times New Roman"/>
          <w:b w:val="0"/>
          <w:bCs w:val="0"/>
          <w:lang w:val="en-GB"/>
        </w:rPr>
        <w:t xml:space="preserve"> amount involved in </w:t>
      </w:r>
      <w:r>
        <w:rPr>
          <w:rFonts w:ascii="Times New Roman" w:hAnsi="Times New Roman" w:cs="Times New Roman"/>
          <w:b w:val="0"/>
          <w:bCs w:val="0"/>
          <w:lang w:val="en-GB"/>
        </w:rPr>
        <w:lastRenderedPageBreak/>
        <w:t>each case and the total amount involved during the year. The information should be filed by taxpayer along with the return of income or if he does not file his return of income then</w:t>
      </w:r>
      <w:proofErr w:type="gramStart"/>
      <w:r>
        <w:rPr>
          <w:rFonts w:ascii="Times New Roman" w:hAnsi="Times New Roman" w:cs="Times New Roman"/>
          <w:b w:val="0"/>
          <w:bCs w:val="0"/>
          <w:lang w:val="en-GB"/>
        </w:rPr>
        <w:t>,  before</w:t>
      </w:r>
      <w:proofErr w:type="gramEnd"/>
      <w:r>
        <w:rPr>
          <w:rFonts w:ascii="Times New Roman" w:hAnsi="Times New Roman" w:cs="Times New Roman"/>
          <w:b w:val="0"/>
          <w:bCs w:val="0"/>
          <w:lang w:val="en-GB"/>
        </w:rPr>
        <w:t xml:space="preserve"> March 31 next following the end of his accounting year.</w:t>
      </w:r>
    </w:p>
    <w:p w:rsidR="00EC74B3" w:rsidRDefault="00EC74B3">
      <w:pPr>
        <w:pStyle w:val="BodyText2"/>
        <w:spacing w:line="360" w:lineRule="auto"/>
        <w:rPr>
          <w:rFonts w:ascii="Times New Roman" w:hAnsi="Times New Roman" w:cs="Times New Roman"/>
          <w:b w:val="0"/>
          <w:bCs w:val="0"/>
          <w:lang w:val="en-GB"/>
        </w:rPr>
      </w:pPr>
      <w:r>
        <w:rPr>
          <w:rFonts w:ascii="Times New Roman" w:hAnsi="Times New Roman" w:cs="Times New Roman"/>
          <w:b w:val="0"/>
          <w:bCs w:val="0"/>
          <w:lang w:val="en-GB"/>
        </w:rPr>
        <w:t>The following preliminary information may be asked along with return.</w:t>
      </w:r>
    </w:p>
    <w:p w:rsidR="00EC74B3" w:rsidRDefault="00EC74B3" w:rsidP="005077F7">
      <w:pPr>
        <w:pStyle w:val="BodyText2"/>
        <w:numPr>
          <w:ilvl w:val="0"/>
          <w:numId w:val="16"/>
        </w:numPr>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Name &amp; address of the tax payer</w:t>
      </w:r>
    </w:p>
    <w:p w:rsidR="00EC74B3" w:rsidRDefault="00EC74B3" w:rsidP="005077F7">
      <w:pPr>
        <w:pStyle w:val="BodyText2"/>
        <w:numPr>
          <w:ilvl w:val="0"/>
          <w:numId w:val="16"/>
        </w:numPr>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Previous year ended</w:t>
      </w:r>
    </w:p>
    <w:p w:rsidR="00EC74B3" w:rsidRDefault="00EC74B3" w:rsidP="005077F7">
      <w:pPr>
        <w:pStyle w:val="BodyText2"/>
        <w:numPr>
          <w:ilvl w:val="0"/>
          <w:numId w:val="16"/>
        </w:numPr>
        <w:tabs>
          <w:tab w:val="num" w:pos="2880"/>
        </w:tabs>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 xml:space="preserve">Assessment Year  </w:t>
      </w:r>
    </w:p>
    <w:p w:rsidR="00EC74B3" w:rsidRDefault="00EC74B3" w:rsidP="005077F7">
      <w:pPr>
        <w:pStyle w:val="BodyText2"/>
        <w:numPr>
          <w:ilvl w:val="0"/>
          <w:numId w:val="16"/>
        </w:numPr>
        <w:tabs>
          <w:tab w:val="num" w:pos="2880"/>
        </w:tabs>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Name  &amp; address of the  associated enterprises</w:t>
      </w:r>
    </w:p>
    <w:p w:rsidR="00EC74B3" w:rsidRDefault="00EC74B3" w:rsidP="005077F7">
      <w:pPr>
        <w:pStyle w:val="BodyText2"/>
        <w:numPr>
          <w:ilvl w:val="0"/>
          <w:numId w:val="16"/>
        </w:numPr>
        <w:tabs>
          <w:tab w:val="num" w:pos="2880"/>
        </w:tabs>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Relationship with the taxpayer</w:t>
      </w:r>
    </w:p>
    <w:p w:rsidR="00EC74B3" w:rsidRDefault="00EC74B3" w:rsidP="005077F7">
      <w:pPr>
        <w:pStyle w:val="BodyText2"/>
        <w:numPr>
          <w:ilvl w:val="0"/>
          <w:numId w:val="16"/>
        </w:numPr>
        <w:tabs>
          <w:tab w:val="num" w:pos="2880"/>
        </w:tabs>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Amount  involved</w:t>
      </w:r>
    </w:p>
    <w:p w:rsidR="00EC74B3" w:rsidRDefault="00EC74B3" w:rsidP="005077F7">
      <w:pPr>
        <w:pStyle w:val="BodyText2"/>
        <w:numPr>
          <w:ilvl w:val="0"/>
          <w:numId w:val="16"/>
        </w:numPr>
        <w:tabs>
          <w:tab w:val="num" w:pos="2880"/>
        </w:tabs>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 xml:space="preserve">Details of transactions :                                                                                                                       </w:t>
      </w:r>
    </w:p>
    <w:p w:rsidR="00EC74B3" w:rsidRDefault="00EC74B3">
      <w:pPr>
        <w:pStyle w:val="BodyText2"/>
        <w:spacing w:line="360" w:lineRule="auto"/>
        <w:rPr>
          <w:rFonts w:ascii="Times New Roman" w:hAnsi="Times New Roman" w:cs="Times New Roman"/>
          <w:b w:val="0"/>
          <w:bCs w:val="0"/>
          <w:lang w:val="en-GB"/>
        </w:rPr>
      </w:pPr>
    </w:p>
    <w:p w:rsidR="00EC74B3" w:rsidRDefault="00EC74B3" w:rsidP="005077F7">
      <w:pPr>
        <w:pStyle w:val="BodyText2"/>
        <w:numPr>
          <w:ilvl w:val="0"/>
          <w:numId w:val="21"/>
        </w:numPr>
        <w:spacing w:line="360" w:lineRule="auto"/>
        <w:rPr>
          <w:rFonts w:ascii="Times New Roman" w:hAnsi="Times New Roman" w:cs="Times New Roman"/>
          <w:b w:val="0"/>
          <w:bCs w:val="0"/>
          <w:lang w:val="en-GB"/>
        </w:rPr>
      </w:pPr>
      <w:r>
        <w:rPr>
          <w:rFonts w:ascii="Times New Roman" w:hAnsi="Times New Roman" w:cs="Times New Roman"/>
          <w:b w:val="0"/>
          <w:bCs w:val="0"/>
          <w:lang w:val="en-GB"/>
        </w:rPr>
        <w:t>Value of purchase/sale of goods including goods of a capital nature.</w:t>
      </w:r>
    </w:p>
    <w:p w:rsidR="00EC74B3" w:rsidRDefault="00EC74B3" w:rsidP="005077F7">
      <w:pPr>
        <w:pStyle w:val="BodyText2"/>
        <w:numPr>
          <w:ilvl w:val="0"/>
          <w:numId w:val="21"/>
        </w:numPr>
        <w:spacing w:line="360" w:lineRule="auto"/>
        <w:rPr>
          <w:rFonts w:ascii="Times New Roman" w:hAnsi="Times New Roman" w:cs="Times New Roman"/>
          <w:b w:val="0"/>
          <w:bCs w:val="0"/>
          <w:lang w:val="en-GB"/>
        </w:rPr>
      </w:pPr>
      <w:r>
        <w:rPr>
          <w:rFonts w:ascii="Times New Roman" w:hAnsi="Times New Roman" w:cs="Times New Roman"/>
          <w:b w:val="0"/>
          <w:bCs w:val="0"/>
          <w:lang w:val="en-GB"/>
        </w:rPr>
        <w:t>Value or consideration accruing or payable for any transaction in respect of any services performed/availed or for intangibles</w:t>
      </w:r>
    </w:p>
    <w:p w:rsidR="00EC74B3" w:rsidRDefault="00EC74B3">
      <w:pPr>
        <w:pStyle w:val="BodyText2"/>
        <w:spacing w:line="360" w:lineRule="auto"/>
        <w:ind w:left="2880"/>
        <w:rPr>
          <w:rFonts w:ascii="Times New Roman" w:hAnsi="Times New Roman" w:cs="Times New Roman"/>
          <w:b w:val="0"/>
          <w:bCs w:val="0"/>
          <w:lang w:val="en-GB"/>
        </w:rPr>
      </w:pPr>
      <w:r>
        <w:rPr>
          <w:rFonts w:ascii="Times New Roman" w:hAnsi="Times New Roman" w:cs="Times New Roman"/>
          <w:b w:val="0"/>
          <w:bCs w:val="0"/>
          <w:lang w:val="en-GB"/>
        </w:rPr>
        <w:t xml:space="preserve">(C) Receipts/payments not covered by any of the above categories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4.5.12 </w:t>
      </w:r>
      <w:r>
        <w:rPr>
          <w:rFonts w:ascii="Times New Roman" w:hAnsi="Times New Roman" w:cs="Times New Roman"/>
          <w:b w:val="0"/>
          <w:bCs w:val="0"/>
          <w:lang w:val="en-GB"/>
        </w:rPr>
        <w:t xml:space="preserve">The Group feels that a threshold limit has to be fixed for different types of transactions and where the threshold limits fixed for the transactions is crossed then the taxpayer must submit the information as mentioned above. The </w:t>
      </w:r>
      <w:proofErr w:type="gramStart"/>
      <w:r>
        <w:rPr>
          <w:rFonts w:ascii="Times New Roman" w:hAnsi="Times New Roman" w:cs="Times New Roman"/>
          <w:b w:val="0"/>
          <w:bCs w:val="0"/>
          <w:lang w:val="en-GB"/>
        </w:rPr>
        <w:t>threshold</w:t>
      </w:r>
      <w:proofErr w:type="gramEnd"/>
      <w:r>
        <w:rPr>
          <w:rFonts w:ascii="Times New Roman" w:hAnsi="Times New Roman" w:cs="Times New Roman"/>
          <w:b w:val="0"/>
          <w:bCs w:val="0"/>
          <w:lang w:val="en-GB"/>
        </w:rPr>
        <w:t xml:space="preserve"> limits recommend in this regard are given below:</w:t>
      </w:r>
    </w:p>
    <w:p w:rsidR="00EC74B3" w:rsidRDefault="00EC74B3" w:rsidP="005077F7">
      <w:pPr>
        <w:pStyle w:val="BodyText2"/>
        <w:numPr>
          <w:ilvl w:val="0"/>
          <w:numId w:val="17"/>
        </w:numPr>
        <w:tabs>
          <w:tab w:val="num" w:pos="1440"/>
        </w:tabs>
        <w:spacing w:line="360" w:lineRule="auto"/>
        <w:ind w:left="1440"/>
        <w:jc w:val="both"/>
        <w:rPr>
          <w:rFonts w:ascii="Times New Roman" w:hAnsi="Times New Roman" w:cs="Times New Roman"/>
          <w:b w:val="0"/>
          <w:bCs w:val="0"/>
          <w:lang w:val="en-GB"/>
        </w:rPr>
      </w:pPr>
      <w:r>
        <w:rPr>
          <w:rFonts w:ascii="Times New Roman" w:hAnsi="Times New Roman" w:cs="Times New Roman"/>
          <w:b w:val="0"/>
          <w:bCs w:val="0"/>
          <w:lang w:val="en-GB"/>
        </w:rPr>
        <w:t>Amount of Rs. 1 crore for purchase/sale of goods, including goods of a capital nature.</w:t>
      </w:r>
    </w:p>
    <w:p w:rsidR="00EC74B3" w:rsidRDefault="00EC74B3" w:rsidP="005077F7">
      <w:pPr>
        <w:pStyle w:val="BodyText2"/>
        <w:numPr>
          <w:ilvl w:val="0"/>
          <w:numId w:val="17"/>
        </w:numPr>
        <w:tabs>
          <w:tab w:val="num" w:pos="1440"/>
        </w:tabs>
        <w:spacing w:line="360" w:lineRule="auto"/>
        <w:ind w:left="1440"/>
        <w:jc w:val="both"/>
        <w:rPr>
          <w:rFonts w:ascii="Times New Roman" w:hAnsi="Times New Roman" w:cs="Times New Roman"/>
          <w:b w:val="0"/>
          <w:bCs w:val="0"/>
          <w:lang w:val="en-GB"/>
        </w:rPr>
      </w:pPr>
      <w:r>
        <w:rPr>
          <w:rFonts w:ascii="Times New Roman" w:hAnsi="Times New Roman" w:cs="Times New Roman"/>
          <w:b w:val="0"/>
          <w:bCs w:val="0"/>
          <w:lang w:val="en-GB"/>
        </w:rPr>
        <w:t>Amount exceeding Rs1 crore for receipt/payment of any services or intangibles such as intellectual property, trademark etc.</w:t>
      </w:r>
    </w:p>
    <w:p w:rsidR="00EC74B3" w:rsidRDefault="00EC74B3" w:rsidP="005077F7">
      <w:pPr>
        <w:pStyle w:val="BodyText2"/>
        <w:numPr>
          <w:ilvl w:val="0"/>
          <w:numId w:val="17"/>
        </w:numPr>
        <w:tabs>
          <w:tab w:val="num" w:pos="1440"/>
        </w:tabs>
        <w:spacing w:line="360" w:lineRule="auto"/>
        <w:ind w:left="1440"/>
        <w:jc w:val="both"/>
        <w:rPr>
          <w:rFonts w:ascii="Times New Roman" w:hAnsi="Times New Roman" w:cs="Times New Roman"/>
          <w:b w:val="0"/>
          <w:bCs w:val="0"/>
          <w:lang w:val="en-GB"/>
        </w:rPr>
      </w:pPr>
      <w:r>
        <w:rPr>
          <w:rFonts w:ascii="Times New Roman" w:hAnsi="Times New Roman" w:cs="Times New Roman"/>
          <w:b w:val="0"/>
          <w:bCs w:val="0"/>
          <w:lang w:val="en-GB"/>
        </w:rPr>
        <w:t xml:space="preserve">Amount exceeding Rs.1 crore, for any other receipt/payment not covered by any of the above categories, including loans.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4.5.13 </w:t>
      </w:r>
      <w:r>
        <w:rPr>
          <w:rFonts w:ascii="Times New Roman" w:hAnsi="Times New Roman" w:cs="Times New Roman"/>
          <w:b w:val="0"/>
          <w:bCs w:val="0"/>
          <w:lang w:val="en-GB"/>
        </w:rPr>
        <w:t xml:space="preserve">The above mentioned documents are basic documents, which should provide information about the arm’s length price and justification for the transactions not being at arm’s length price. Only those transactions between related parties, which have an impact on the tax liability in India, are sought to be covered under these regulations. All other transactions, which have no such impact, should not be covered. </w:t>
      </w:r>
      <w:r>
        <w:rPr>
          <w:rFonts w:ascii="Times New Roman" w:hAnsi="Times New Roman" w:cs="Times New Roman"/>
          <w:b w:val="0"/>
          <w:bCs w:val="0"/>
          <w:lang w:val="en-GB"/>
        </w:rPr>
        <w:lastRenderedPageBreak/>
        <w:t>For example, a transaction of sale and purchase between a Singapore Company and its Japanese Associate will be outside the purview of these regulations. But if the transaction is in respect of an intangible for its use in India or in respect of a tangible property in India, though between two entities in a foreign tax jurisdiction then it will be covered by these regulations.</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4.5.14 </w:t>
      </w:r>
      <w:r>
        <w:rPr>
          <w:rFonts w:ascii="Times New Roman" w:hAnsi="Times New Roman" w:cs="Times New Roman"/>
          <w:b w:val="0"/>
          <w:bCs w:val="0"/>
          <w:lang w:val="en-GB"/>
        </w:rPr>
        <w:t xml:space="preserve">It may be borne in mind that while considering the documentation requirements, a balance has to be achieved so that the documentation as prescribed is not so cumbersome that the taxpayer is put to a lot of cost, both monetary and time wise, but at the same time it must be adequate enough for the tax authorities to arrive at the proper figure for profit or loss for the year.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4.5.15 </w:t>
      </w:r>
      <w:r>
        <w:rPr>
          <w:rFonts w:ascii="Times New Roman" w:hAnsi="Times New Roman" w:cs="Times New Roman"/>
          <w:b w:val="0"/>
          <w:bCs w:val="0"/>
          <w:lang w:val="en-GB"/>
        </w:rPr>
        <w:t xml:space="preserve">The Group is also of the view that the records should be maintained for all transactions with related parties to which these regulations would otherwise apply. The taxpayer should prepare and maintain the records till the completion of the assessment.    </w:t>
      </w:r>
    </w:p>
    <w:p w:rsidR="00EC74B3" w:rsidRDefault="00EC74B3">
      <w:pPr>
        <w:pStyle w:val="BodyText2"/>
        <w:spacing w:line="360" w:lineRule="auto"/>
        <w:rPr>
          <w:rFonts w:ascii="Times New Roman" w:hAnsi="Times New Roman" w:cs="Times New Roman"/>
          <w:b w:val="0"/>
          <w:bCs w:val="0"/>
          <w:u w:val="single"/>
          <w:lang w:val="en-GB"/>
        </w:rPr>
      </w:pPr>
      <w:r>
        <w:rPr>
          <w:rFonts w:ascii="Times New Roman" w:hAnsi="Times New Roman" w:cs="Times New Roman"/>
          <w:u w:val="single"/>
          <w:lang w:val="en-GB"/>
        </w:rPr>
        <w:t>Time limit for preserving documents</w:t>
      </w:r>
      <w:r>
        <w:rPr>
          <w:rFonts w:ascii="Times New Roman" w:hAnsi="Times New Roman" w:cs="Times New Roman"/>
          <w:b w:val="0"/>
          <w:bCs w:val="0"/>
          <w:u w:val="single"/>
          <w:lang w:val="en-GB"/>
        </w:rPr>
        <w:t>:</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4.5.16 </w:t>
      </w:r>
      <w:r>
        <w:rPr>
          <w:rFonts w:ascii="Times New Roman" w:hAnsi="Times New Roman" w:cs="Times New Roman"/>
          <w:b w:val="0"/>
          <w:bCs w:val="0"/>
          <w:lang w:val="en-GB"/>
        </w:rPr>
        <w:t>All documents relating to a transaction covered by these regulations should be preserved for a period of 10 years from the year of completion of the transaction.</w:t>
      </w:r>
    </w:p>
    <w:p w:rsidR="00EC74B3" w:rsidRDefault="00EC74B3">
      <w:pPr>
        <w:pStyle w:val="BodyText2"/>
        <w:spacing w:line="360" w:lineRule="auto"/>
        <w:rPr>
          <w:rFonts w:ascii="Times New Roman" w:hAnsi="Times New Roman" w:cs="Times New Roman"/>
          <w:u w:val="single"/>
          <w:lang w:val="en-GB"/>
        </w:rPr>
      </w:pPr>
      <w:r>
        <w:rPr>
          <w:rFonts w:ascii="Times New Roman" w:hAnsi="Times New Roman" w:cs="Times New Roman"/>
          <w:u w:val="single"/>
          <w:lang w:val="en-GB"/>
        </w:rPr>
        <w:t>Method of submission of information:</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4.5.17</w:t>
      </w:r>
      <w:r>
        <w:rPr>
          <w:rFonts w:ascii="Times New Roman" w:hAnsi="Times New Roman" w:cs="Times New Roman"/>
          <w:b w:val="0"/>
          <w:bCs w:val="0"/>
          <w:lang w:val="en-GB"/>
        </w:rPr>
        <w:t xml:space="preserve"> The information mentioned above may be required to be submitted in following form:</w:t>
      </w:r>
    </w:p>
    <w:p w:rsidR="00EC74B3" w:rsidRDefault="00EC74B3" w:rsidP="005077F7">
      <w:pPr>
        <w:pStyle w:val="BodyText2"/>
        <w:numPr>
          <w:ilvl w:val="0"/>
          <w:numId w:val="20"/>
        </w:numPr>
        <w:spacing w:line="360" w:lineRule="auto"/>
        <w:rPr>
          <w:rFonts w:ascii="Times New Roman" w:hAnsi="Times New Roman" w:cs="Times New Roman"/>
          <w:b w:val="0"/>
          <w:bCs w:val="0"/>
          <w:lang w:val="en-GB"/>
        </w:rPr>
      </w:pPr>
      <w:r>
        <w:rPr>
          <w:rFonts w:ascii="Times New Roman" w:hAnsi="Times New Roman" w:cs="Times New Roman"/>
          <w:b w:val="0"/>
          <w:bCs w:val="0"/>
          <w:lang w:val="en-GB"/>
        </w:rPr>
        <w:t>The information may be asked to be given in prescribed format as part of the tax audit report.</w:t>
      </w:r>
    </w:p>
    <w:p w:rsidR="00EC74B3" w:rsidRDefault="00EC74B3" w:rsidP="005077F7">
      <w:pPr>
        <w:pStyle w:val="BodyText2"/>
        <w:numPr>
          <w:ilvl w:val="0"/>
          <w:numId w:val="20"/>
        </w:numPr>
        <w:tabs>
          <w:tab w:val="num" w:pos="1530"/>
        </w:tabs>
        <w:spacing w:line="360" w:lineRule="auto"/>
        <w:rPr>
          <w:rFonts w:ascii="Times New Roman" w:hAnsi="Times New Roman" w:cs="Times New Roman"/>
          <w:b w:val="0"/>
          <w:bCs w:val="0"/>
          <w:lang w:val="en-GB"/>
        </w:rPr>
      </w:pPr>
      <w:r>
        <w:rPr>
          <w:rFonts w:ascii="Times New Roman" w:hAnsi="Times New Roman" w:cs="Times New Roman"/>
          <w:b w:val="0"/>
          <w:bCs w:val="0"/>
          <w:lang w:val="en-GB"/>
        </w:rPr>
        <w:t>The audit report should be signed by the Management and also verified by an independent Chartered Accountant, as defined u/s. 288 of the Act, other than the Statutory Auditor of the taxpayer. The report should certify its arithmetic accuracy as in the case of cash flow statement attached to the Annual Accounts under the Companies Act, 1956.</w:t>
      </w:r>
    </w:p>
    <w:p w:rsidR="00EC74B3" w:rsidRDefault="00EC74B3">
      <w:pPr>
        <w:pStyle w:val="BodyText2"/>
        <w:spacing w:line="360" w:lineRule="auto"/>
        <w:rPr>
          <w:rFonts w:ascii="Times New Roman" w:hAnsi="Times New Roman" w:cs="Times New Roman"/>
          <w:u w:val="single"/>
          <w:lang w:val="en-GB"/>
        </w:rPr>
      </w:pPr>
      <w:r>
        <w:rPr>
          <w:rFonts w:ascii="Times New Roman" w:hAnsi="Times New Roman" w:cs="Times New Roman"/>
          <w:u w:val="single"/>
          <w:lang w:val="en-GB"/>
        </w:rPr>
        <w:t>Supplementary Documents:</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lang w:val="en-GB"/>
        </w:rPr>
        <w:t xml:space="preserve">4.5.18 </w:t>
      </w:r>
      <w:r>
        <w:rPr>
          <w:rFonts w:ascii="Times New Roman" w:hAnsi="Times New Roman" w:cs="Times New Roman"/>
          <w:b w:val="0"/>
          <w:bCs w:val="0"/>
          <w:lang w:val="en-GB"/>
        </w:rPr>
        <w:t>Where any case relating to transfer pricing is taken up for scrutiny,  the taxpayer may be required to produce additional documents or information within 30 days of the notice of enquiry or such other time prescribed by the concerned authority.</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t xml:space="preserve">The records or documents should show the taxpayers efforts to comply with the “arm’s length” principle and should include the information on which any transfer prices were based, a record of the factors taken into account and the details of the </w:t>
      </w:r>
      <w:r>
        <w:rPr>
          <w:rFonts w:ascii="Times New Roman" w:hAnsi="Times New Roman" w:cs="Times New Roman"/>
          <w:b w:val="0"/>
          <w:bCs w:val="0"/>
          <w:lang w:val="en-GB"/>
        </w:rPr>
        <w:lastRenderedPageBreak/>
        <w:t>method selected and provide a description that is complete and accurate in all material respects. The following supplementary information in this regard may be obtained.</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details of  property or services to which the transaction relates</w:t>
      </w:r>
    </w:p>
    <w:p w:rsidR="00EC74B3" w:rsidRDefault="00EC74B3" w:rsidP="005077F7">
      <w:pPr>
        <w:pStyle w:val="BodyText2"/>
        <w:numPr>
          <w:ilvl w:val="0"/>
          <w:numId w:val="18"/>
        </w:numPr>
        <w:tabs>
          <w:tab w:val="clear" w:pos="1728"/>
          <w:tab w:val="num" w:pos="1260"/>
          <w:tab w:val="left" w:pos="1440"/>
        </w:tabs>
        <w:spacing w:line="360" w:lineRule="auto"/>
        <w:ind w:left="1440"/>
        <w:jc w:val="both"/>
        <w:rPr>
          <w:rFonts w:ascii="Times New Roman" w:hAnsi="Times New Roman" w:cs="Times New Roman"/>
          <w:b w:val="0"/>
          <w:bCs w:val="0"/>
          <w:lang w:val="en-GB"/>
        </w:rPr>
      </w:pPr>
      <w:r>
        <w:rPr>
          <w:rFonts w:ascii="Times New Roman" w:hAnsi="Times New Roman" w:cs="Times New Roman"/>
          <w:b w:val="0"/>
          <w:bCs w:val="0"/>
          <w:lang w:val="en-GB"/>
        </w:rPr>
        <w:t>An overview  of the taxpayer’s business, including an analysis of the  economic and legal factors that affect the pricing of its property or services</w:t>
      </w:r>
    </w:p>
    <w:p w:rsidR="00EC74B3" w:rsidRDefault="00EC74B3" w:rsidP="005077F7">
      <w:pPr>
        <w:pStyle w:val="BodyText2"/>
        <w:numPr>
          <w:ilvl w:val="0"/>
          <w:numId w:val="18"/>
        </w:numPr>
        <w:tabs>
          <w:tab w:val="num" w:pos="1800"/>
        </w:tabs>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All commercial agreements covering the terms and conditions of the transaction with related parties as well as with independent parties</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description of the taxpayer’s ownership structure covering all related parties including  foreign parents and associates</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functions performed, the property used or contributed and the risks assumed, the assumptions, strategies and policies (including price negotiations), if any, that influenced the determination of the transfer price in respect of the transaction and a record of the business or management or pricing  strategy adopted by the taxpayer and the reasons for the same</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data and methods considered and the analysis performed to determine the transfer price in respect of the transaction and also why the selected method will produce “arm’s length” pricing</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assumptions, strategies and policies (including price    negotiations), if any, that influenced the determination of the transfer price in respect of the transaction</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All investment appraisals undertaken by the taxpayer in relation to an investment in or involving related parties</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 record of the off-setting transactions taken into account in determining the pricing for the transaction</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 record of the nature, terms and pricing relating to any uncontrolled transaction in which the taxpayer was involved and which are relevant for determining the “arm’s length” price for any comparable transaction involving the taxpayer and related party</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 record, if available, of any forecast, budget and financial information prepared not only for the whole business but for each division,  product, etc. separately</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Accounts of the related parties</w:t>
      </w:r>
    </w:p>
    <w:p w:rsidR="00EC74B3" w:rsidRDefault="00EC74B3" w:rsidP="005077F7">
      <w:pPr>
        <w:pStyle w:val="BodyText2"/>
        <w:numPr>
          <w:ilvl w:val="0"/>
          <w:numId w:val="18"/>
        </w:numPr>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lastRenderedPageBreak/>
        <w:t xml:space="preserve">Tax treatment accorded to the transaction by the tax authorities in the foreign tax jurisdiction.                  </w:t>
      </w:r>
    </w:p>
    <w:p w:rsidR="00EC74B3" w:rsidRDefault="00EC74B3">
      <w:pPr>
        <w:pStyle w:val="Title"/>
        <w:rPr>
          <w:lang w:val="en-GB"/>
        </w:rPr>
      </w:pPr>
      <w:r>
        <w:rPr>
          <w:sz w:val="28"/>
          <w:lang w:val="en-GB"/>
        </w:rPr>
        <w:t>Burden of Proof</w:t>
      </w:r>
    </w:p>
    <w:p w:rsidR="00EC74B3" w:rsidRDefault="00EC74B3">
      <w:pPr>
        <w:pStyle w:val="Title"/>
        <w:ind w:firstLine="720"/>
        <w:jc w:val="both"/>
        <w:rPr>
          <w:b w:val="0"/>
          <w:bCs/>
          <w:lang w:val="en-GB"/>
        </w:rPr>
      </w:pPr>
    </w:p>
    <w:p w:rsidR="00EC74B3" w:rsidRDefault="00EC74B3">
      <w:pPr>
        <w:pStyle w:val="Title"/>
        <w:spacing w:line="360" w:lineRule="auto"/>
        <w:ind w:firstLine="720"/>
        <w:jc w:val="both"/>
        <w:rPr>
          <w:b w:val="0"/>
          <w:bCs/>
          <w:sz w:val="24"/>
          <w:lang w:val="en-GB"/>
        </w:rPr>
      </w:pPr>
      <w:r>
        <w:rPr>
          <w:b w:val="0"/>
          <w:bCs/>
          <w:sz w:val="24"/>
          <w:u w:val="none"/>
          <w:lang w:val="en-GB"/>
        </w:rPr>
        <w:t>Burden of proof rules for tax cases differ from country to country. In some jurisdictions, the tax administration bears the burden of proof both in its own internal dealings with the taxpayer (e.g. assessment and appeals) and in litigation. In some countries, the burden of proof can be reversed, allowing the tax administration to estimate taxable income, if the taxpayer is found not to have acted in good faith, for example, by not cooperating or complying with reasonable documentation requests or by filing false or misleading returns. In other countries, the burden of proof is on the taxpayer. The variation in the rules regarding burden of proof can be seen from the Table 1 below</w:t>
      </w:r>
      <w:r>
        <w:rPr>
          <w:b w:val="0"/>
          <w:bCs/>
          <w:sz w:val="24"/>
          <w:lang w:val="en-GB"/>
        </w:rPr>
        <w:t>.</w:t>
      </w:r>
    </w:p>
    <w:p w:rsidR="00EC74B3" w:rsidRDefault="00EC74B3">
      <w:pPr>
        <w:spacing w:line="360" w:lineRule="auto"/>
        <w:jc w:val="center"/>
        <w:rPr>
          <w:b/>
        </w:rPr>
      </w:pPr>
    </w:p>
    <w:p w:rsidR="00EC74B3" w:rsidRDefault="00EC74B3">
      <w:pPr>
        <w:spacing w:line="360" w:lineRule="auto"/>
        <w:jc w:val="center"/>
        <w:rPr>
          <w:b/>
        </w:rPr>
      </w:pPr>
      <w:r>
        <w:rPr>
          <w:b/>
        </w:rPr>
        <w:t xml:space="preserve">TABLE </w:t>
      </w:r>
      <w:proofErr w:type="gramStart"/>
      <w:r>
        <w:rPr>
          <w:b/>
        </w:rPr>
        <w:t>1 :</w:t>
      </w:r>
      <w:proofErr w:type="gramEnd"/>
      <w:r>
        <w:rPr>
          <w:b/>
        </w:rPr>
        <w:t xml:space="preserve"> BURDEN OF PROOF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8"/>
        <w:gridCol w:w="4478"/>
      </w:tblGrid>
      <w:tr w:rsidR="00EC74B3">
        <w:tblPrEx>
          <w:tblCellMar>
            <w:top w:w="0" w:type="dxa"/>
            <w:bottom w:w="0" w:type="dxa"/>
          </w:tblCellMar>
        </w:tblPrEx>
        <w:tc>
          <w:tcPr>
            <w:tcW w:w="4478" w:type="dxa"/>
          </w:tcPr>
          <w:p w:rsidR="00EC74B3" w:rsidRDefault="00EC74B3">
            <w:pPr>
              <w:jc w:val="both"/>
            </w:pPr>
            <w:r>
              <w:rPr>
                <w:b/>
              </w:rPr>
              <w:t>COUNTRY</w:t>
            </w:r>
          </w:p>
        </w:tc>
        <w:tc>
          <w:tcPr>
            <w:tcW w:w="4478" w:type="dxa"/>
          </w:tcPr>
          <w:p w:rsidR="00EC74B3" w:rsidRDefault="00EC74B3">
            <w:pPr>
              <w:jc w:val="both"/>
            </w:pPr>
            <w:r>
              <w:rPr>
                <w:b/>
              </w:rPr>
              <w:t>BURDEN OF PROOF</w:t>
            </w:r>
          </w:p>
        </w:tc>
      </w:tr>
      <w:tr w:rsidR="00EC74B3">
        <w:tblPrEx>
          <w:tblCellMar>
            <w:top w:w="0" w:type="dxa"/>
            <w:bottom w:w="0" w:type="dxa"/>
          </w:tblCellMar>
        </w:tblPrEx>
        <w:tc>
          <w:tcPr>
            <w:tcW w:w="4478" w:type="dxa"/>
          </w:tcPr>
          <w:p w:rsidR="00EC74B3" w:rsidRDefault="00EC74B3">
            <w:pPr>
              <w:jc w:val="both"/>
            </w:pPr>
            <w:r>
              <w:t>Australia</w:t>
            </w:r>
          </w:p>
        </w:tc>
        <w:tc>
          <w:tcPr>
            <w:tcW w:w="4478" w:type="dxa"/>
          </w:tcPr>
          <w:p w:rsidR="00EC74B3" w:rsidRDefault="00EC74B3">
            <w:pPr>
              <w:jc w:val="both"/>
            </w:pPr>
            <w:r>
              <w:t>Is on the taxpayer</w:t>
            </w:r>
          </w:p>
        </w:tc>
      </w:tr>
      <w:tr w:rsidR="00EC74B3">
        <w:tblPrEx>
          <w:tblCellMar>
            <w:top w:w="0" w:type="dxa"/>
            <w:bottom w:w="0" w:type="dxa"/>
          </w:tblCellMar>
        </w:tblPrEx>
        <w:tc>
          <w:tcPr>
            <w:tcW w:w="4478" w:type="dxa"/>
          </w:tcPr>
          <w:p w:rsidR="00EC74B3" w:rsidRDefault="00EC74B3">
            <w:pPr>
              <w:jc w:val="both"/>
            </w:pPr>
            <w:r>
              <w:t>Belgium</w:t>
            </w:r>
          </w:p>
        </w:tc>
        <w:tc>
          <w:tcPr>
            <w:tcW w:w="4478" w:type="dxa"/>
          </w:tcPr>
          <w:p w:rsidR="00EC74B3" w:rsidRDefault="00EC74B3">
            <w:pPr>
              <w:jc w:val="both"/>
            </w:pPr>
            <w:r>
              <w:t xml:space="preserve">Varies. It is for the tax authorities to prove that an abnormal advantage </w:t>
            </w:r>
            <w:proofErr w:type="gramStart"/>
            <w:r>
              <w:t>has  been</w:t>
            </w:r>
            <w:proofErr w:type="gramEnd"/>
            <w:r>
              <w:t xml:space="preserve"> granted to a foreign affiliate, but in the case of deduction of expenses generally and payments made to tax-favoured entities, the                                                 burden of proof is with the taxpayer.</w:t>
            </w:r>
          </w:p>
        </w:tc>
      </w:tr>
      <w:tr w:rsidR="00EC74B3">
        <w:tblPrEx>
          <w:tblCellMar>
            <w:top w:w="0" w:type="dxa"/>
            <w:bottom w:w="0" w:type="dxa"/>
          </w:tblCellMar>
        </w:tblPrEx>
        <w:tc>
          <w:tcPr>
            <w:tcW w:w="4478" w:type="dxa"/>
          </w:tcPr>
          <w:p w:rsidR="00EC74B3" w:rsidRDefault="00EC74B3">
            <w:pPr>
              <w:jc w:val="both"/>
            </w:pPr>
            <w:r>
              <w:t>Denmark</w:t>
            </w:r>
          </w:p>
        </w:tc>
        <w:tc>
          <w:tcPr>
            <w:tcW w:w="4478" w:type="dxa"/>
          </w:tcPr>
          <w:p w:rsidR="00EC74B3" w:rsidRDefault="00EC74B3">
            <w:pPr>
              <w:jc w:val="both"/>
            </w:pPr>
            <w:r>
              <w:t>Lies firmly with the tax authorities.</w:t>
            </w:r>
          </w:p>
        </w:tc>
      </w:tr>
      <w:tr w:rsidR="00EC74B3">
        <w:tblPrEx>
          <w:tblCellMar>
            <w:top w:w="0" w:type="dxa"/>
            <w:bottom w:w="0" w:type="dxa"/>
          </w:tblCellMar>
        </w:tblPrEx>
        <w:tc>
          <w:tcPr>
            <w:tcW w:w="4478" w:type="dxa"/>
          </w:tcPr>
          <w:p w:rsidR="00EC74B3" w:rsidRDefault="00EC74B3">
            <w:pPr>
              <w:jc w:val="both"/>
            </w:pPr>
            <w:r>
              <w:t>France</w:t>
            </w:r>
          </w:p>
        </w:tc>
        <w:tc>
          <w:tcPr>
            <w:tcW w:w="4478" w:type="dxa"/>
          </w:tcPr>
          <w:p w:rsidR="00EC74B3" w:rsidRDefault="00EC74B3">
            <w:pPr>
              <w:jc w:val="both"/>
            </w:pPr>
            <w:r>
              <w:t xml:space="preserve">The allocation of the burden of proof depends on which legal rules/ </w:t>
            </w:r>
            <w:proofErr w:type="gramStart"/>
            <w:r>
              <w:t>principles is</w:t>
            </w:r>
            <w:proofErr w:type="gramEnd"/>
            <w:r>
              <w:t xml:space="preserve"> in dispute.</w:t>
            </w:r>
          </w:p>
        </w:tc>
      </w:tr>
      <w:tr w:rsidR="00EC74B3">
        <w:tblPrEx>
          <w:tblCellMar>
            <w:top w:w="0" w:type="dxa"/>
            <w:bottom w:w="0" w:type="dxa"/>
          </w:tblCellMar>
        </w:tblPrEx>
        <w:tc>
          <w:tcPr>
            <w:tcW w:w="4478" w:type="dxa"/>
          </w:tcPr>
          <w:p w:rsidR="00EC74B3" w:rsidRDefault="00EC74B3">
            <w:pPr>
              <w:jc w:val="both"/>
            </w:pPr>
            <w:r>
              <w:t>Japan</w:t>
            </w:r>
          </w:p>
        </w:tc>
        <w:tc>
          <w:tcPr>
            <w:tcW w:w="4478" w:type="dxa"/>
          </w:tcPr>
          <w:p w:rsidR="00EC74B3" w:rsidRDefault="00EC74B3">
            <w:pPr>
              <w:jc w:val="both"/>
            </w:pPr>
            <w:r>
              <w:t>Is on the taxpayer to show that the price set by the revenue authority is incorrect.</w:t>
            </w:r>
          </w:p>
          <w:p w:rsidR="00EC74B3" w:rsidRDefault="00EC74B3">
            <w:pPr>
              <w:jc w:val="both"/>
            </w:pPr>
          </w:p>
        </w:tc>
      </w:tr>
      <w:tr w:rsidR="00EC74B3">
        <w:tblPrEx>
          <w:tblCellMar>
            <w:top w:w="0" w:type="dxa"/>
            <w:bottom w:w="0" w:type="dxa"/>
          </w:tblCellMar>
        </w:tblPrEx>
        <w:tc>
          <w:tcPr>
            <w:tcW w:w="4478" w:type="dxa"/>
            <w:tcBorders>
              <w:bottom w:val="nil"/>
            </w:tcBorders>
          </w:tcPr>
          <w:p w:rsidR="00EC74B3" w:rsidRDefault="00EC74B3">
            <w:pPr>
              <w:jc w:val="both"/>
            </w:pPr>
            <w:r>
              <w:t>Sweden</w:t>
            </w:r>
          </w:p>
        </w:tc>
        <w:tc>
          <w:tcPr>
            <w:tcW w:w="4478" w:type="dxa"/>
            <w:tcBorders>
              <w:bottom w:val="nil"/>
            </w:tcBorders>
          </w:tcPr>
          <w:p w:rsidR="00EC74B3" w:rsidRDefault="00EC74B3">
            <w:pPr>
              <w:jc w:val="both"/>
            </w:pPr>
            <w:r>
              <w:t>On the tax authority</w:t>
            </w:r>
          </w:p>
        </w:tc>
      </w:tr>
      <w:tr w:rsidR="00EC74B3">
        <w:tblPrEx>
          <w:tblCellMar>
            <w:top w:w="0" w:type="dxa"/>
            <w:bottom w:w="0" w:type="dxa"/>
          </w:tblCellMar>
        </w:tblPrEx>
        <w:tc>
          <w:tcPr>
            <w:tcW w:w="4478" w:type="dxa"/>
            <w:tcBorders>
              <w:top w:val="single" w:sz="4" w:space="0" w:color="auto"/>
            </w:tcBorders>
          </w:tcPr>
          <w:p w:rsidR="00EC74B3" w:rsidRDefault="00EC74B3">
            <w:pPr>
              <w:jc w:val="both"/>
            </w:pPr>
            <w:r>
              <w:t>United Kingdom</w:t>
            </w:r>
          </w:p>
        </w:tc>
        <w:tc>
          <w:tcPr>
            <w:tcW w:w="4478" w:type="dxa"/>
            <w:tcBorders>
              <w:top w:val="single" w:sz="4" w:space="0" w:color="auto"/>
            </w:tcBorders>
          </w:tcPr>
          <w:p w:rsidR="00EC74B3" w:rsidRDefault="00EC74B3">
            <w:pPr>
              <w:jc w:val="both"/>
            </w:pPr>
            <w:r>
              <w:t>On the taxpayer</w:t>
            </w:r>
          </w:p>
        </w:tc>
      </w:tr>
      <w:tr w:rsidR="00EC74B3">
        <w:tblPrEx>
          <w:tblCellMar>
            <w:top w:w="0" w:type="dxa"/>
            <w:bottom w:w="0" w:type="dxa"/>
          </w:tblCellMar>
        </w:tblPrEx>
        <w:tc>
          <w:tcPr>
            <w:tcW w:w="4478" w:type="dxa"/>
          </w:tcPr>
          <w:p w:rsidR="00EC74B3" w:rsidRDefault="00EC74B3">
            <w:pPr>
              <w:jc w:val="both"/>
            </w:pPr>
            <w:r>
              <w:t>United States</w:t>
            </w:r>
          </w:p>
        </w:tc>
        <w:tc>
          <w:tcPr>
            <w:tcW w:w="4478" w:type="dxa"/>
          </w:tcPr>
          <w:p w:rsidR="00EC74B3" w:rsidRDefault="00EC74B3">
            <w:pPr>
              <w:jc w:val="both"/>
            </w:pPr>
            <w:r>
              <w:t>On the taxpayer to show that the internal Revenue Service has acted in an arbitrary manner or has abused its discretion. Is on the tax authorities if the IRS asserts criminal fraud.</w:t>
            </w:r>
          </w:p>
        </w:tc>
      </w:tr>
    </w:tbl>
    <w:p w:rsidR="00EC74B3" w:rsidRDefault="00EC74B3">
      <w:pPr>
        <w:pStyle w:val="Title"/>
        <w:jc w:val="both"/>
        <w:rPr>
          <w:b w:val="0"/>
          <w:bCs/>
          <w:lang w:val="en-GB"/>
        </w:rPr>
      </w:pPr>
    </w:p>
    <w:p w:rsidR="00EC74B3" w:rsidRDefault="00EC74B3">
      <w:pPr>
        <w:pStyle w:val="Title"/>
        <w:spacing w:line="360" w:lineRule="auto"/>
        <w:ind w:firstLine="720"/>
        <w:jc w:val="both"/>
        <w:rPr>
          <w:b w:val="0"/>
          <w:bCs/>
          <w:sz w:val="24"/>
          <w:u w:val="none"/>
          <w:lang w:val="en-GB"/>
        </w:rPr>
      </w:pPr>
      <w:r>
        <w:rPr>
          <w:b w:val="0"/>
          <w:bCs/>
          <w:sz w:val="24"/>
          <w:u w:val="none"/>
          <w:lang w:val="en-GB"/>
        </w:rPr>
        <w:t xml:space="preserve">Where as a matter of domestic law the burden of proof is on the tax administration, the taxpayer may not have any legal obligation to prove the correctness of its transfer pricing unless the tax administration makes a prima facie showing that the pricing is inconsistent with the arm’s length principle. Even in such </w:t>
      </w:r>
      <w:r>
        <w:rPr>
          <w:b w:val="0"/>
          <w:bCs/>
          <w:sz w:val="24"/>
          <w:u w:val="none"/>
          <w:lang w:val="en-GB"/>
        </w:rPr>
        <w:lastRenderedPageBreak/>
        <w:t>cases, of course, the tax administration might still reasonably oblige the taxpayer to produce its records that would enable the tax administration to undertake its examination. In some countries, taxpayers have a duty to cooperate with tax administration, imposed on them by law. In the event that a taxpayer fails to cooperate, the tax administration may be given authority to estimate the taxpayer’s income and to assume relevant facts based on experience. In these cases, tax administration should not seek to impose such a high level of cooperation that would make it too difficult for reasonable taxpayers to comply.</w:t>
      </w:r>
    </w:p>
    <w:p w:rsidR="00EC74B3" w:rsidRDefault="00EC74B3">
      <w:pPr>
        <w:pStyle w:val="Title"/>
        <w:spacing w:line="360" w:lineRule="auto"/>
        <w:jc w:val="both"/>
        <w:rPr>
          <w:b w:val="0"/>
          <w:bCs/>
          <w:sz w:val="24"/>
          <w:u w:val="none"/>
          <w:lang w:val="en-GB"/>
        </w:rPr>
      </w:pPr>
      <w:r>
        <w:rPr>
          <w:b w:val="0"/>
          <w:bCs/>
          <w:sz w:val="24"/>
          <w:u w:val="none"/>
          <w:lang w:val="en-GB"/>
        </w:rPr>
        <w:t>In practice, neither countries nor taxpayers should misuse the burden of proof in the manner described above. Because of the difficulties with transfer pricing analysis, it would be appropriate for both taxpayers and tax administration to take special care and to use restraint in relying on the burden of proof in the course of the examination of a transfer pricing case.</w:t>
      </w:r>
    </w:p>
    <w:p w:rsidR="00EC74B3" w:rsidRDefault="00EC74B3">
      <w:pPr>
        <w:pStyle w:val="Title"/>
        <w:spacing w:line="360" w:lineRule="auto"/>
        <w:jc w:val="both"/>
        <w:rPr>
          <w:b w:val="0"/>
          <w:bCs/>
          <w:sz w:val="24"/>
          <w:u w:val="none"/>
          <w:lang w:val="en-GB"/>
        </w:rPr>
      </w:pPr>
      <w:r>
        <w:rPr>
          <w:b w:val="0"/>
          <w:bCs/>
          <w:sz w:val="24"/>
          <w:u w:val="none"/>
          <w:lang w:val="en-GB"/>
        </w:rPr>
        <w:t>In India, law as on date lays down that</w:t>
      </w:r>
    </w:p>
    <w:p w:rsidR="00EC74B3" w:rsidRDefault="00EC74B3">
      <w:pPr>
        <w:pStyle w:val="Title"/>
        <w:spacing w:line="360" w:lineRule="auto"/>
        <w:ind w:left="1440" w:right="533"/>
        <w:jc w:val="both"/>
        <w:rPr>
          <w:b w:val="0"/>
          <w:bCs/>
          <w:sz w:val="24"/>
          <w:u w:val="none"/>
          <w:lang w:val="en-GB"/>
        </w:rPr>
      </w:pPr>
      <w:r>
        <w:rPr>
          <w:b w:val="0"/>
          <w:bCs/>
          <w:i/>
          <w:iCs/>
          <w:sz w:val="24"/>
          <w:u w:val="none"/>
          <w:lang w:val="en-GB"/>
        </w:rPr>
        <w:t>Avoidance of tax does not include every case of reduction of tax liability. There would be no avoidance of tax merely because the assessee enters into transaction which has the effect of diminishing his income and consequently reducing his tax liability. Tax avoidance under the Indian I. T. law postulates that assessee avoids payment of tax on some income by some device or artifice apparently showing the income as accruing to another person.</w:t>
      </w:r>
    </w:p>
    <w:p w:rsidR="00EC74B3" w:rsidRDefault="00EC74B3">
      <w:pPr>
        <w:pStyle w:val="Title"/>
        <w:tabs>
          <w:tab w:val="left" w:pos="8453"/>
        </w:tabs>
        <w:spacing w:line="360" w:lineRule="auto"/>
        <w:ind w:right="-7"/>
        <w:jc w:val="both"/>
        <w:rPr>
          <w:b w:val="0"/>
          <w:bCs/>
          <w:sz w:val="24"/>
          <w:u w:val="none"/>
          <w:lang w:val="en-GB"/>
        </w:rPr>
      </w:pPr>
      <w:r>
        <w:rPr>
          <w:b w:val="0"/>
          <w:bCs/>
          <w:sz w:val="24"/>
          <w:u w:val="none"/>
          <w:lang w:val="en-GB"/>
        </w:rPr>
        <w:t xml:space="preserve">Also the onus to satisfy the Assessing Officer regarding absence of any intention to avoid taxes lies squarely on the taxpayer [S. P. K. Kadar Mohideen vs. C. I. T. 38 ITR 647 (Mad.)]. Yet the mere fact that the assessee had or is deemed to have knowledge that the effect of the transfer would result in avoidance of tax cannot be construed to mean that such negotiations where the sole purpose or design behind the transaction [CIT vs. A. M. M. Mohd. </w:t>
      </w:r>
      <w:proofErr w:type="gramStart"/>
      <w:r>
        <w:rPr>
          <w:b w:val="0"/>
          <w:bCs/>
          <w:sz w:val="24"/>
          <w:u w:val="none"/>
          <w:lang w:val="en-GB"/>
        </w:rPr>
        <w:t>Ibrahim Sahib, 45 ITR 166 (Mad.)].</w:t>
      </w:r>
      <w:proofErr w:type="gramEnd"/>
      <w:r>
        <w:rPr>
          <w:b w:val="0"/>
          <w:bCs/>
          <w:sz w:val="24"/>
          <w:u w:val="none"/>
          <w:lang w:val="en-GB"/>
        </w:rPr>
        <w:t xml:space="preserve"> </w:t>
      </w:r>
    </w:p>
    <w:p w:rsidR="00EC74B3" w:rsidRDefault="00EC74B3">
      <w:pPr>
        <w:pStyle w:val="Title"/>
        <w:tabs>
          <w:tab w:val="left" w:pos="8453"/>
        </w:tabs>
        <w:spacing w:line="360" w:lineRule="auto"/>
        <w:ind w:right="-7" w:firstLine="720"/>
        <w:jc w:val="both"/>
        <w:rPr>
          <w:b w:val="0"/>
          <w:bCs/>
          <w:sz w:val="24"/>
          <w:u w:val="none"/>
          <w:lang w:val="en-GB"/>
        </w:rPr>
      </w:pPr>
      <w:r>
        <w:rPr>
          <w:b w:val="0"/>
          <w:bCs/>
          <w:sz w:val="24"/>
          <w:u w:val="none"/>
          <w:lang w:val="en-GB"/>
        </w:rPr>
        <w:t xml:space="preserve">Considering the above facts the Group is of the view that while making the transfer pricing adjustments the tax authority should not be under statutory obligation to establish that the increase in the income / profits or a part of it had been received directly or indirectly by the assessee. Further, in view of difficulties in obtaining pertinent data from sources outside India, the onus of proving that the declared price / value is based on recognised method and that it represents arm’s length price should </w:t>
      </w:r>
      <w:r>
        <w:rPr>
          <w:b w:val="0"/>
          <w:bCs/>
          <w:sz w:val="24"/>
          <w:u w:val="none"/>
          <w:lang w:val="en-GB"/>
        </w:rPr>
        <w:lastRenderedPageBreak/>
        <w:t xml:space="preserve">be on the assessee, who is supposed to have easier access to direct and most relevant information concerning the transaction in question. Obviously, the burden would shift to tax authorities if they do not agree with the method adopted and price declared by the assessee. </w:t>
      </w:r>
    </w:p>
    <w:p w:rsidR="00EC74B3" w:rsidRDefault="00EC74B3">
      <w:pPr>
        <w:pStyle w:val="Title"/>
        <w:spacing w:line="360" w:lineRule="auto"/>
        <w:jc w:val="both"/>
        <w:rPr>
          <w:sz w:val="24"/>
          <w:u w:val="none"/>
          <w:lang w:val="en-GB"/>
        </w:rPr>
      </w:pPr>
      <w:r>
        <w:rPr>
          <w:sz w:val="24"/>
          <w:u w:val="none"/>
          <w:lang w:val="en-GB"/>
        </w:rPr>
        <w:t>Penalties</w:t>
      </w:r>
    </w:p>
    <w:p w:rsidR="00EC74B3" w:rsidRDefault="00EC74B3">
      <w:pPr>
        <w:pStyle w:val="Title"/>
        <w:spacing w:line="360" w:lineRule="auto"/>
        <w:ind w:firstLine="720"/>
        <w:jc w:val="both"/>
        <w:rPr>
          <w:b w:val="0"/>
          <w:bCs/>
          <w:sz w:val="24"/>
          <w:u w:val="none"/>
          <w:lang w:val="en-GB"/>
        </w:rPr>
      </w:pPr>
    </w:p>
    <w:p w:rsidR="00EC74B3" w:rsidRDefault="00EC74B3">
      <w:pPr>
        <w:pStyle w:val="BodyText"/>
        <w:spacing w:line="360" w:lineRule="auto"/>
        <w:jc w:val="both"/>
        <w:outlineLvl w:val="0"/>
        <w:rPr>
          <w:rFonts w:ascii="Times New Roman" w:hAnsi="Times New Roman" w:cs="Times New Roman"/>
          <w:bCs/>
          <w:sz w:val="24"/>
          <w:lang w:val="en-GB"/>
        </w:rPr>
      </w:pPr>
      <w:r>
        <w:rPr>
          <w:rFonts w:ascii="Times New Roman" w:hAnsi="Times New Roman" w:cs="Times New Roman"/>
          <w:b/>
          <w:sz w:val="24"/>
          <w:lang w:val="en-GB"/>
        </w:rPr>
        <w:t>2.8.1</w:t>
      </w:r>
      <w:r>
        <w:rPr>
          <w:rFonts w:ascii="Times New Roman" w:hAnsi="Times New Roman" w:cs="Times New Roman"/>
          <w:bCs/>
          <w:sz w:val="24"/>
          <w:lang w:val="en-GB"/>
        </w:rPr>
        <w:tab/>
        <w:t xml:space="preserve">Normally the concept underlining the provisions on penalty in tax laws in India is that any adjustment made by tax authorities to the income shown by the taxpayer reflects concealment of income. A natural consequence is that the amount of penalty leviable is quite steep and accordingly the accompanying burden of proof is also very heavy. </w:t>
      </w:r>
    </w:p>
    <w:p w:rsidR="00EC74B3" w:rsidRDefault="00EC74B3">
      <w:pPr>
        <w:pStyle w:val="BodyText"/>
        <w:spacing w:line="360" w:lineRule="auto"/>
        <w:jc w:val="both"/>
        <w:outlineLvl w:val="0"/>
        <w:rPr>
          <w:rFonts w:ascii="Times New Roman" w:hAnsi="Times New Roman" w:cs="Times New Roman"/>
          <w:bCs/>
          <w:sz w:val="24"/>
          <w:lang w:val="en-GB"/>
        </w:rPr>
      </w:pPr>
      <w:r>
        <w:rPr>
          <w:rFonts w:ascii="Times New Roman" w:hAnsi="Times New Roman" w:cs="Times New Roman"/>
          <w:b/>
          <w:sz w:val="24"/>
          <w:lang w:val="en-GB"/>
        </w:rPr>
        <w:t>2.8.2</w:t>
      </w:r>
      <w:r>
        <w:rPr>
          <w:rFonts w:ascii="Times New Roman" w:hAnsi="Times New Roman" w:cs="Times New Roman"/>
          <w:bCs/>
          <w:sz w:val="24"/>
          <w:lang w:val="en-GB"/>
        </w:rPr>
        <w:tab/>
        <w:t xml:space="preserve">It is interesting to note that the OECD Guidelines explains that penalties are most often directed toward providing disincentives for non-compliance, where the compliance at issue may relate to procedural requirements such as providing necessary information or filing returns, or to the substantive determination of tax liability. Penalties are generally designed to make tax underpayments and other types of non-compliance more costly than compliance. These Guidelines also suggest that the quantum of penalty should be commensurate to the magnitude of the default. </w:t>
      </w:r>
    </w:p>
    <w:p w:rsidR="00EC74B3" w:rsidRDefault="00EC74B3">
      <w:pPr>
        <w:pStyle w:val="BodyText"/>
        <w:spacing w:line="360" w:lineRule="auto"/>
        <w:jc w:val="both"/>
        <w:outlineLvl w:val="0"/>
        <w:rPr>
          <w:rFonts w:ascii="Times New Roman" w:hAnsi="Times New Roman" w:cs="Times New Roman"/>
          <w:bCs/>
          <w:sz w:val="24"/>
          <w:lang w:val="en-GB"/>
        </w:rPr>
      </w:pPr>
      <w:r>
        <w:rPr>
          <w:rFonts w:ascii="Times New Roman" w:hAnsi="Times New Roman" w:cs="Times New Roman"/>
          <w:bCs/>
          <w:sz w:val="24"/>
          <w:lang w:val="en-GB"/>
        </w:rPr>
        <w:t xml:space="preserve">In order to make any prospective legislation on transfer pricing work, in India, a fundamental change is required in the legalistic perception of need for levy of penalty on adjustments made to the transfer prices shown by taxpayers. An adjustment made by the Assessing Officer should be considered in light of the circumstances in which transfer prices differed from the price determined by the taxpayer. In normal cases there should be imposition of monetary penalty in the form of civil action. However, if the Assessing Officer is satisfied that the deviation made by the taxpayer was in the nature </w:t>
      </w:r>
      <w:proofErr w:type="gramStart"/>
      <w:r>
        <w:rPr>
          <w:rFonts w:ascii="Times New Roman" w:hAnsi="Times New Roman" w:cs="Times New Roman"/>
          <w:bCs/>
          <w:sz w:val="24"/>
          <w:lang w:val="en-GB"/>
        </w:rPr>
        <w:t>of a blatant fraud then criminal proceedings</w:t>
      </w:r>
      <w:proofErr w:type="gramEnd"/>
      <w:r>
        <w:rPr>
          <w:rFonts w:ascii="Times New Roman" w:hAnsi="Times New Roman" w:cs="Times New Roman"/>
          <w:bCs/>
          <w:sz w:val="24"/>
          <w:lang w:val="en-GB"/>
        </w:rPr>
        <w:t xml:space="preserve"> should also be initiated.</w:t>
      </w:r>
    </w:p>
    <w:p w:rsidR="00EC74B3" w:rsidRDefault="00EC74B3">
      <w:pPr>
        <w:pStyle w:val="BodyText"/>
        <w:spacing w:line="360" w:lineRule="auto"/>
        <w:jc w:val="both"/>
        <w:outlineLvl w:val="0"/>
        <w:rPr>
          <w:rFonts w:ascii="Times New Roman" w:hAnsi="Times New Roman" w:cs="Times New Roman"/>
          <w:bCs/>
          <w:sz w:val="24"/>
          <w:lang w:val="en-GB"/>
        </w:rPr>
      </w:pPr>
      <w:r>
        <w:rPr>
          <w:rFonts w:ascii="Times New Roman" w:hAnsi="Times New Roman" w:cs="Times New Roman"/>
          <w:bCs/>
          <w:sz w:val="24"/>
          <w:lang w:val="en-GB"/>
        </w:rPr>
        <w:t xml:space="preserve">In order to encourage taxpayers to make efforts for determining arm's length prices it should be provided that no penalty would be imposed when it is found that the taxpayer made all possible efforts to arrive at the arm's length price. </w:t>
      </w:r>
    </w:p>
    <w:p w:rsidR="00EC74B3" w:rsidRDefault="00EC74B3">
      <w:pPr>
        <w:pStyle w:val="BodyText"/>
        <w:spacing w:line="360" w:lineRule="auto"/>
        <w:jc w:val="both"/>
        <w:outlineLvl w:val="0"/>
        <w:rPr>
          <w:rFonts w:ascii="Times New Roman" w:hAnsi="Times New Roman" w:cs="Times New Roman"/>
          <w:bCs/>
          <w:sz w:val="24"/>
          <w:lang w:val="en-GB"/>
        </w:rPr>
      </w:pPr>
      <w:r>
        <w:rPr>
          <w:rFonts w:ascii="Times New Roman" w:hAnsi="Times New Roman" w:cs="Times New Roman"/>
          <w:bCs/>
          <w:sz w:val="24"/>
          <w:lang w:val="en-GB"/>
        </w:rPr>
        <w:t xml:space="preserve">In view of the fact that documentation plays a very important role in the determination of transfer prices most of the countries with comprehensive transfer pricing system there is provision of levy of penalty for non-production of documents during examination by tax authorities. </w:t>
      </w:r>
    </w:p>
    <w:p w:rsidR="00EC74B3" w:rsidRDefault="00EC74B3">
      <w:pPr>
        <w:pStyle w:val="Title"/>
        <w:spacing w:line="360" w:lineRule="auto"/>
        <w:ind w:firstLine="720"/>
        <w:jc w:val="both"/>
        <w:rPr>
          <w:b w:val="0"/>
          <w:bCs/>
          <w:sz w:val="24"/>
          <w:u w:val="none"/>
          <w:lang w:val="en-GB"/>
        </w:rPr>
      </w:pPr>
      <w:r>
        <w:rPr>
          <w:b w:val="0"/>
          <w:bCs/>
          <w:sz w:val="24"/>
          <w:u w:val="none"/>
          <w:lang w:val="en-GB"/>
        </w:rPr>
        <w:lastRenderedPageBreak/>
        <w:t>Penalties are most often directed toward providing disincentives for non-compliance, where the compliance at issues may relate to procedural requirements such as providing necessary information or filing returns, or to the substantive determination of tax liability. Penalties are generally designed to make tax underpayments and other types of non-compliance more costly than compliance. The nature of tax penalties may be affected by the judicial system of a country. Most countries do not apply no-fault penalties; in some countries, for example, the imposition of a no-fault penalty would be against the underlying principles of their legal system.</w:t>
      </w:r>
    </w:p>
    <w:p w:rsidR="00EC74B3" w:rsidRDefault="00EC74B3">
      <w:pPr>
        <w:pStyle w:val="Title"/>
        <w:spacing w:line="360" w:lineRule="auto"/>
        <w:ind w:firstLine="720"/>
        <w:jc w:val="both"/>
        <w:rPr>
          <w:b w:val="0"/>
          <w:bCs/>
          <w:sz w:val="24"/>
          <w:u w:val="none"/>
          <w:lang w:val="en-GB"/>
        </w:rPr>
      </w:pPr>
      <w:r>
        <w:rPr>
          <w:b w:val="0"/>
          <w:bCs/>
          <w:sz w:val="24"/>
          <w:u w:val="none"/>
          <w:lang w:val="en-GB"/>
        </w:rPr>
        <w:t>The following conclusions are agreed to by most of the countries. First, imposition of a sizable “no-fault” penalty based on the mere existence of an understatement of a certain amount would be unduly harsh when it is attributed to good faith rather than negligence or an actual intent to avoid tax. Second, it would be unfair to impose sizable penalties on taxpayers that made a reasonable effort in good faith to set the terms of their transactions with related parties in manner consistent with the arm’s length principles. Table 2 below shows the variation in penalties regime.</w:t>
      </w:r>
    </w:p>
    <w:p w:rsidR="00EC74B3" w:rsidRDefault="00EC74B3">
      <w:pPr>
        <w:pStyle w:val="Title"/>
        <w:ind w:firstLine="720"/>
        <w:jc w:val="both"/>
        <w:rPr>
          <w:b w:val="0"/>
          <w:bCs/>
          <w:lang w:val="en-GB"/>
        </w:rPr>
      </w:pPr>
    </w:p>
    <w:p w:rsidR="00EC74B3" w:rsidRDefault="00EC74B3">
      <w:pPr>
        <w:pStyle w:val="Title"/>
        <w:rPr>
          <w:b w:val="0"/>
          <w:bCs/>
          <w:lang w:val="en-GB"/>
        </w:rPr>
      </w:pPr>
      <w:r>
        <w:rPr>
          <w:b w:val="0"/>
          <w:bCs/>
          <w:lang w:val="en-GB"/>
        </w:rPr>
        <w:t>Table 2: Penalties on Transfer Pricing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5"/>
        <w:gridCol w:w="2904"/>
        <w:gridCol w:w="2126"/>
        <w:gridCol w:w="2140"/>
      </w:tblGrid>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sz w:val="22"/>
                <w:u w:val="none"/>
                <w:lang w:val="en-GB"/>
              </w:rPr>
              <w:t>OECD</w:t>
            </w:r>
          </w:p>
        </w:tc>
        <w:tc>
          <w:tcPr>
            <w:tcW w:w="2966" w:type="dxa"/>
          </w:tcPr>
          <w:p w:rsidR="00EC74B3" w:rsidRDefault="00EC74B3">
            <w:pPr>
              <w:pStyle w:val="Title"/>
              <w:jc w:val="both"/>
              <w:rPr>
                <w:b w:val="0"/>
                <w:bCs/>
                <w:sz w:val="22"/>
                <w:u w:val="none"/>
                <w:lang w:val="en-GB"/>
              </w:rPr>
            </w:pPr>
            <w:proofErr w:type="gramStart"/>
            <w:r>
              <w:rPr>
                <w:b w:val="0"/>
                <w:bCs/>
                <w:sz w:val="22"/>
                <w:u w:val="none"/>
                <w:lang w:val="en-GB"/>
              </w:rPr>
              <w:t>Notes that civil monetary penalties are frequently calculated as a percentage of the tax understated, with the percentage ranging from 10 to 200 percent.</w:t>
            </w:r>
            <w:proofErr w:type="gramEnd"/>
          </w:p>
        </w:tc>
        <w:tc>
          <w:tcPr>
            <w:tcW w:w="2167" w:type="dxa"/>
          </w:tcPr>
          <w:p w:rsidR="00EC74B3" w:rsidRDefault="00EC74B3">
            <w:pPr>
              <w:pStyle w:val="Title"/>
              <w:jc w:val="both"/>
              <w:rPr>
                <w:b w:val="0"/>
                <w:bCs/>
                <w:sz w:val="22"/>
                <w:u w:val="none"/>
                <w:lang w:val="en-GB"/>
              </w:rPr>
            </w:pPr>
            <w:r>
              <w:rPr>
                <w:b w:val="0"/>
                <w:bCs/>
                <w:sz w:val="22"/>
                <w:u w:val="none"/>
                <w:lang w:val="en-GB"/>
              </w:rPr>
              <w:t>New Zealand</w:t>
            </w:r>
          </w:p>
        </w:tc>
        <w:tc>
          <w:tcPr>
            <w:tcW w:w="2168" w:type="dxa"/>
          </w:tcPr>
          <w:p w:rsidR="00EC74B3" w:rsidRDefault="00EC74B3">
            <w:pPr>
              <w:pStyle w:val="Title"/>
              <w:jc w:val="both"/>
              <w:rPr>
                <w:b w:val="0"/>
                <w:bCs/>
                <w:sz w:val="22"/>
                <w:u w:val="none"/>
                <w:lang w:val="en-GB"/>
              </w:rPr>
            </w:pPr>
            <w:r>
              <w:rPr>
                <w:b w:val="0"/>
                <w:bCs/>
                <w:sz w:val="22"/>
                <w:u w:val="none"/>
                <w:lang w:val="en-GB"/>
              </w:rPr>
              <w:t>Ordinary penalties apply – 20 to 150% standard penalty on tax adjustment.</w:t>
            </w:r>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Australia</w:t>
            </w:r>
          </w:p>
        </w:tc>
        <w:tc>
          <w:tcPr>
            <w:tcW w:w="2966" w:type="dxa"/>
          </w:tcPr>
          <w:p w:rsidR="00EC74B3" w:rsidRDefault="00EC74B3">
            <w:pPr>
              <w:pStyle w:val="Title"/>
              <w:jc w:val="both"/>
              <w:rPr>
                <w:b w:val="0"/>
                <w:bCs/>
                <w:sz w:val="22"/>
                <w:u w:val="none"/>
                <w:lang w:val="en-GB"/>
              </w:rPr>
            </w:pPr>
            <w:r>
              <w:rPr>
                <w:b w:val="0"/>
                <w:bCs/>
                <w:sz w:val="22"/>
                <w:u w:val="none"/>
                <w:lang w:val="en-GB"/>
              </w:rPr>
              <w:t>Ordinary penalty of 10%, 25% or 50% additional tax payable (dependent on whether dominant tax avoidance purpose or whether taxpayer establishes reasonably arguably position).</w:t>
            </w:r>
          </w:p>
        </w:tc>
        <w:tc>
          <w:tcPr>
            <w:tcW w:w="2167" w:type="dxa"/>
          </w:tcPr>
          <w:p w:rsidR="00EC74B3" w:rsidRDefault="00EC74B3">
            <w:pPr>
              <w:pStyle w:val="Title"/>
              <w:jc w:val="both"/>
              <w:rPr>
                <w:b w:val="0"/>
                <w:bCs/>
                <w:sz w:val="22"/>
                <w:u w:val="none"/>
                <w:lang w:val="en-GB"/>
              </w:rPr>
            </w:pPr>
            <w:r>
              <w:rPr>
                <w:b w:val="0"/>
                <w:bCs/>
                <w:sz w:val="22"/>
                <w:u w:val="none"/>
                <w:lang w:val="en-GB"/>
              </w:rPr>
              <w:t>Pakistan</w:t>
            </w:r>
          </w:p>
        </w:tc>
        <w:tc>
          <w:tcPr>
            <w:tcW w:w="2168" w:type="dxa"/>
          </w:tcPr>
          <w:p w:rsidR="00EC74B3" w:rsidRDefault="00EC74B3">
            <w:pPr>
              <w:pStyle w:val="Title"/>
              <w:jc w:val="both"/>
              <w:rPr>
                <w:b w:val="0"/>
                <w:bCs/>
                <w:sz w:val="22"/>
                <w:u w:val="none"/>
                <w:lang w:val="en-GB"/>
              </w:rPr>
            </w:pPr>
            <w:r>
              <w:rPr>
                <w:b w:val="0"/>
                <w:bCs/>
                <w:sz w:val="22"/>
                <w:u w:val="none"/>
                <w:lang w:val="en-GB"/>
              </w:rPr>
              <w:t>Ordinary penalty rates for concealment of income apply.</w:t>
            </w:r>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Canada</w:t>
            </w:r>
          </w:p>
        </w:tc>
        <w:tc>
          <w:tcPr>
            <w:tcW w:w="2966" w:type="dxa"/>
          </w:tcPr>
          <w:p w:rsidR="00EC74B3" w:rsidRDefault="00EC74B3">
            <w:pPr>
              <w:pStyle w:val="Title"/>
              <w:jc w:val="both"/>
              <w:rPr>
                <w:b w:val="0"/>
                <w:bCs/>
                <w:sz w:val="22"/>
                <w:u w:val="none"/>
                <w:lang w:val="en-GB"/>
              </w:rPr>
            </w:pPr>
            <w:r>
              <w:rPr>
                <w:b w:val="0"/>
                <w:bCs/>
                <w:sz w:val="22"/>
                <w:u w:val="none"/>
                <w:lang w:val="en-GB"/>
              </w:rPr>
              <w:t>Transfer pricing penalty of 10% of the total transfer pricing adjustment [effective for tax years beginning after 1998].</w:t>
            </w:r>
          </w:p>
        </w:tc>
        <w:tc>
          <w:tcPr>
            <w:tcW w:w="2167" w:type="dxa"/>
          </w:tcPr>
          <w:p w:rsidR="00EC74B3" w:rsidRDefault="00EC74B3">
            <w:pPr>
              <w:pStyle w:val="Title"/>
              <w:jc w:val="both"/>
              <w:rPr>
                <w:b w:val="0"/>
                <w:bCs/>
                <w:sz w:val="22"/>
                <w:u w:val="none"/>
                <w:lang w:val="en-GB"/>
              </w:rPr>
            </w:pPr>
            <w:r>
              <w:rPr>
                <w:b w:val="0"/>
                <w:bCs/>
                <w:sz w:val="22"/>
                <w:u w:val="none"/>
                <w:lang w:val="en-GB"/>
              </w:rPr>
              <w:t>Philippines</w:t>
            </w:r>
          </w:p>
        </w:tc>
        <w:tc>
          <w:tcPr>
            <w:tcW w:w="2168" w:type="dxa"/>
          </w:tcPr>
          <w:p w:rsidR="00EC74B3" w:rsidRDefault="00EC74B3">
            <w:pPr>
              <w:pStyle w:val="Title"/>
              <w:jc w:val="both"/>
              <w:rPr>
                <w:b w:val="0"/>
                <w:bCs/>
                <w:sz w:val="22"/>
                <w:u w:val="none"/>
                <w:lang w:val="en-GB"/>
              </w:rPr>
            </w:pPr>
            <w:proofErr w:type="gramStart"/>
            <w:r>
              <w:rPr>
                <w:b w:val="0"/>
                <w:bCs/>
                <w:sz w:val="22"/>
                <w:u w:val="none"/>
                <w:lang w:val="en-GB"/>
              </w:rPr>
              <w:t>50% of tax due.</w:t>
            </w:r>
            <w:proofErr w:type="gramEnd"/>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China</w:t>
            </w:r>
          </w:p>
        </w:tc>
        <w:tc>
          <w:tcPr>
            <w:tcW w:w="2966" w:type="dxa"/>
          </w:tcPr>
          <w:p w:rsidR="00EC74B3" w:rsidRDefault="00EC74B3">
            <w:pPr>
              <w:pStyle w:val="Title"/>
              <w:jc w:val="both"/>
              <w:rPr>
                <w:b w:val="0"/>
                <w:bCs/>
                <w:sz w:val="22"/>
                <w:u w:val="none"/>
                <w:lang w:val="en-GB"/>
              </w:rPr>
            </w:pPr>
            <w:r>
              <w:rPr>
                <w:b w:val="0"/>
                <w:bCs/>
                <w:sz w:val="22"/>
                <w:u w:val="none"/>
                <w:lang w:val="en-GB"/>
              </w:rPr>
              <w:t>Up to RMB 10,000 for failure to submit an annual declaration form concerning business transactions with associated enterprises within the time set by SAT.</w:t>
            </w:r>
          </w:p>
        </w:tc>
        <w:tc>
          <w:tcPr>
            <w:tcW w:w="2167" w:type="dxa"/>
          </w:tcPr>
          <w:p w:rsidR="00EC74B3" w:rsidRDefault="00EC74B3">
            <w:pPr>
              <w:pStyle w:val="Title"/>
              <w:jc w:val="both"/>
              <w:rPr>
                <w:b w:val="0"/>
                <w:bCs/>
                <w:sz w:val="22"/>
                <w:u w:val="none"/>
                <w:lang w:val="en-GB"/>
              </w:rPr>
            </w:pPr>
            <w:r>
              <w:rPr>
                <w:b w:val="0"/>
                <w:bCs/>
                <w:sz w:val="22"/>
                <w:u w:val="none"/>
                <w:lang w:val="en-GB"/>
              </w:rPr>
              <w:t>Singapore</w:t>
            </w:r>
          </w:p>
        </w:tc>
        <w:tc>
          <w:tcPr>
            <w:tcW w:w="2168" w:type="dxa"/>
          </w:tcPr>
          <w:p w:rsidR="00EC74B3" w:rsidRDefault="00EC74B3">
            <w:pPr>
              <w:pStyle w:val="Title"/>
              <w:jc w:val="both"/>
              <w:rPr>
                <w:b w:val="0"/>
                <w:bCs/>
                <w:sz w:val="22"/>
                <w:u w:val="none"/>
                <w:lang w:val="en-GB"/>
              </w:rPr>
            </w:pPr>
            <w:r>
              <w:rPr>
                <w:b w:val="0"/>
                <w:bCs/>
                <w:sz w:val="22"/>
                <w:u w:val="none"/>
                <w:lang w:val="en-GB"/>
              </w:rPr>
              <w:t>No specific penalty regime for transfer pricing adjustments. General penalty rules apply.</w:t>
            </w:r>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India</w:t>
            </w:r>
          </w:p>
        </w:tc>
        <w:tc>
          <w:tcPr>
            <w:tcW w:w="2966" w:type="dxa"/>
          </w:tcPr>
          <w:p w:rsidR="00EC74B3" w:rsidRDefault="00EC74B3">
            <w:pPr>
              <w:pStyle w:val="Title"/>
              <w:jc w:val="both"/>
              <w:rPr>
                <w:b w:val="0"/>
                <w:bCs/>
                <w:sz w:val="22"/>
                <w:u w:val="none"/>
                <w:lang w:val="en-GB"/>
              </w:rPr>
            </w:pPr>
            <w:r>
              <w:rPr>
                <w:b w:val="0"/>
                <w:bCs/>
                <w:sz w:val="22"/>
                <w:u w:val="none"/>
                <w:lang w:val="en-GB"/>
              </w:rPr>
              <w:t xml:space="preserve">No specific penalty provisions </w:t>
            </w:r>
            <w:r>
              <w:rPr>
                <w:b w:val="0"/>
                <w:bCs/>
                <w:sz w:val="22"/>
                <w:u w:val="none"/>
                <w:lang w:val="en-GB"/>
              </w:rPr>
              <w:lastRenderedPageBreak/>
              <w:t xml:space="preserve">for adjustment for transactions with related persons. Penalty applicable for concealment of </w:t>
            </w:r>
            <w:proofErr w:type="gramStart"/>
            <w:r>
              <w:rPr>
                <w:b w:val="0"/>
                <w:bCs/>
                <w:sz w:val="22"/>
                <w:u w:val="none"/>
                <w:lang w:val="en-GB"/>
              </w:rPr>
              <w:t>income  or</w:t>
            </w:r>
            <w:proofErr w:type="gramEnd"/>
            <w:r>
              <w:rPr>
                <w:b w:val="0"/>
                <w:bCs/>
                <w:sz w:val="22"/>
                <w:u w:val="none"/>
                <w:lang w:val="en-GB"/>
              </w:rPr>
              <w:t xml:space="preserve"> submitting inaccurate particulars of income (minimum–100%-maximum -300% of tax sought to be avoided).</w:t>
            </w:r>
          </w:p>
        </w:tc>
        <w:tc>
          <w:tcPr>
            <w:tcW w:w="2167" w:type="dxa"/>
          </w:tcPr>
          <w:p w:rsidR="00EC74B3" w:rsidRDefault="00EC74B3">
            <w:pPr>
              <w:pStyle w:val="Title"/>
              <w:jc w:val="both"/>
              <w:rPr>
                <w:b w:val="0"/>
                <w:bCs/>
                <w:sz w:val="22"/>
                <w:u w:val="none"/>
                <w:lang w:val="en-GB"/>
              </w:rPr>
            </w:pPr>
            <w:r>
              <w:rPr>
                <w:b w:val="0"/>
                <w:bCs/>
                <w:sz w:val="22"/>
                <w:u w:val="none"/>
                <w:lang w:val="en-GB"/>
              </w:rPr>
              <w:lastRenderedPageBreak/>
              <w:t>South Africa</w:t>
            </w:r>
          </w:p>
        </w:tc>
        <w:tc>
          <w:tcPr>
            <w:tcW w:w="2168" w:type="dxa"/>
          </w:tcPr>
          <w:p w:rsidR="00EC74B3" w:rsidRDefault="00EC74B3">
            <w:pPr>
              <w:pStyle w:val="Title"/>
              <w:jc w:val="both"/>
              <w:rPr>
                <w:b w:val="0"/>
                <w:bCs/>
                <w:sz w:val="22"/>
                <w:u w:val="none"/>
                <w:lang w:val="en-GB"/>
              </w:rPr>
            </w:pPr>
            <w:r>
              <w:rPr>
                <w:b w:val="0"/>
                <w:bCs/>
                <w:sz w:val="22"/>
                <w:u w:val="none"/>
                <w:lang w:val="en-GB"/>
              </w:rPr>
              <w:t xml:space="preserve">Ordinary penalties </w:t>
            </w:r>
            <w:r>
              <w:rPr>
                <w:b w:val="0"/>
                <w:bCs/>
                <w:sz w:val="22"/>
                <w:u w:val="none"/>
                <w:lang w:val="en-GB"/>
              </w:rPr>
              <w:lastRenderedPageBreak/>
              <w:t>apply – up to 200% of tax for material non-disclosure (Section 76), interest charged at 19% per annum on any outstanding tax.</w:t>
            </w:r>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lastRenderedPageBreak/>
              <w:t>Indonesia</w:t>
            </w:r>
          </w:p>
        </w:tc>
        <w:tc>
          <w:tcPr>
            <w:tcW w:w="2966" w:type="dxa"/>
          </w:tcPr>
          <w:p w:rsidR="00EC74B3" w:rsidRDefault="00EC74B3">
            <w:pPr>
              <w:pStyle w:val="Title"/>
              <w:jc w:val="both"/>
              <w:rPr>
                <w:b w:val="0"/>
                <w:bCs/>
                <w:sz w:val="22"/>
                <w:u w:val="none"/>
                <w:lang w:val="en-GB"/>
              </w:rPr>
            </w:pPr>
            <w:proofErr w:type="gramStart"/>
            <w:r>
              <w:rPr>
                <w:b w:val="0"/>
                <w:bCs/>
                <w:sz w:val="22"/>
                <w:u w:val="none"/>
                <w:lang w:val="en-GB"/>
              </w:rPr>
              <w:t>2% per month for the period fro which the additional tax unpaid, up to maximum of 24 months.</w:t>
            </w:r>
            <w:proofErr w:type="gramEnd"/>
            <w:r>
              <w:rPr>
                <w:b w:val="0"/>
                <w:bCs/>
                <w:sz w:val="22"/>
                <w:u w:val="none"/>
                <w:lang w:val="en-GB"/>
              </w:rPr>
              <w:t xml:space="preserve"> </w:t>
            </w:r>
            <w:proofErr w:type="gramStart"/>
            <w:r>
              <w:rPr>
                <w:b w:val="0"/>
                <w:bCs/>
                <w:sz w:val="22"/>
                <w:u w:val="none"/>
                <w:lang w:val="en-GB"/>
              </w:rPr>
              <w:t>That is, maximum of 48% of the unpaid tax.</w:t>
            </w:r>
            <w:proofErr w:type="gramEnd"/>
          </w:p>
        </w:tc>
        <w:tc>
          <w:tcPr>
            <w:tcW w:w="2167" w:type="dxa"/>
          </w:tcPr>
          <w:p w:rsidR="00EC74B3" w:rsidRDefault="00EC74B3">
            <w:pPr>
              <w:pStyle w:val="Title"/>
              <w:jc w:val="both"/>
              <w:rPr>
                <w:b w:val="0"/>
                <w:bCs/>
                <w:sz w:val="22"/>
                <w:u w:val="none"/>
                <w:lang w:val="en-GB"/>
              </w:rPr>
            </w:pPr>
            <w:r>
              <w:rPr>
                <w:b w:val="0"/>
                <w:bCs/>
                <w:sz w:val="22"/>
                <w:u w:val="none"/>
                <w:lang w:val="en-GB"/>
              </w:rPr>
              <w:t>Taiwan</w:t>
            </w:r>
          </w:p>
        </w:tc>
        <w:tc>
          <w:tcPr>
            <w:tcW w:w="2168" w:type="dxa"/>
          </w:tcPr>
          <w:p w:rsidR="00EC74B3" w:rsidRDefault="00EC74B3">
            <w:pPr>
              <w:pStyle w:val="Title"/>
              <w:jc w:val="both"/>
              <w:rPr>
                <w:b w:val="0"/>
                <w:bCs/>
                <w:sz w:val="22"/>
                <w:u w:val="none"/>
                <w:lang w:val="en-GB"/>
              </w:rPr>
            </w:pPr>
            <w:proofErr w:type="gramStart"/>
            <w:r>
              <w:rPr>
                <w:b w:val="0"/>
                <w:bCs/>
                <w:sz w:val="22"/>
                <w:u w:val="none"/>
                <w:lang w:val="en-GB"/>
              </w:rPr>
              <w:t>Penalty up to three times the amount of tax evaded and/or under NT $60,000.</w:t>
            </w:r>
            <w:proofErr w:type="gramEnd"/>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Japan</w:t>
            </w:r>
          </w:p>
        </w:tc>
        <w:tc>
          <w:tcPr>
            <w:tcW w:w="2966" w:type="dxa"/>
          </w:tcPr>
          <w:p w:rsidR="00EC74B3" w:rsidRDefault="00EC74B3">
            <w:pPr>
              <w:pStyle w:val="Title"/>
              <w:jc w:val="both"/>
              <w:rPr>
                <w:b w:val="0"/>
                <w:bCs/>
                <w:sz w:val="22"/>
                <w:u w:val="none"/>
                <w:lang w:val="en-GB"/>
              </w:rPr>
            </w:pPr>
            <w:proofErr w:type="gramStart"/>
            <w:r>
              <w:rPr>
                <w:b w:val="0"/>
                <w:bCs/>
                <w:sz w:val="22"/>
                <w:u w:val="none"/>
                <w:lang w:val="en-GB"/>
              </w:rPr>
              <w:t>Ordinary penalties apply- 10-40% of additional tax plus delinquency tax of 14.6% per annum.</w:t>
            </w:r>
            <w:proofErr w:type="gramEnd"/>
          </w:p>
        </w:tc>
        <w:tc>
          <w:tcPr>
            <w:tcW w:w="2167" w:type="dxa"/>
          </w:tcPr>
          <w:p w:rsidR="00EC74B3" w:rsidRDefault="00EC74B3">
            <w:pPr>
              <w:pStyle w:val="Title"/>
              <w:jc w:val="both"/>
              <w:rPr>
                <w:b w:val="0"/>
                <w:bCs/>
                <w:sz w:val="22"/>
                <w:u w:val="none"/>
                <w:lang w:val="en-GB"/>
              </w:rPr>
            </w:pPr>
            <w:r>
              <w:rPr>
                <w:b w:val="0"/>
                <w:bCs/>
                <w:sz w:val="22"/>
                <w:u w:val="none"/>
                <w:lang w:val="en-GB"/>
              </w:rPr>
              <w:t>Thailand</w:t>
            </w:r>
          </w:p>
        </w:tc>
        <w:tc>
          <w:tcPr>
            <w:tcW w:w="2168" w:type="dxa"/>
          </w:tcPr>
          <w:p w:rsidR="00EC74B3" w:rsidRDefault="00EC74B3">
            <w:pPr>
              <w:pStyle w:val="Title"/>
              <w:jc w:val="both"/>
              <w:rPr>
                <w:b w:val="0"/>
                <w:bCs/>
                <w:sz w:val="22"/>
                <w:u w:val="none"/>
                <w:lang w:val="en-GB"/>
              </w:rPr>
            </w:pPr>
            <w:proofErr w:type="gramStart"/>
            <w:r>
              <w:rPr>
                <w:b w:val="0"/>
                <w:bCs/>
                <w:sz w:val="22"/>
                <w:u w:val="none"/>
                <w:lang w:val="en-GB"/>
              </w:rPr>
              <w:t>Penalty up to 100% of the additional amount of tax, surcharge of 1.5% per mounth on outstanding tax.</w:t>
            </w:r>
            <w:proofErr w:type="gramEnd"/>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Korea</w:t>
            </w:r>
          </w:p>
        </w:tc>
        <w:tc>
          <w:tcPr>
            <w:tcW w:w="2966" w:type="dxa"/>
          </w:tcPr>
          <w:p w:rsidR="00EC74B3" w:rsidRDefault="00EC74B3">
            <w:pPr>
              <w:pStyle w:val="Title"/>
              <w:jc w:val="both"/>
              <w:rPr>
                <w:b w:val="0"/>
                <w:bCs/>
                <w:sz w:val="22"/>
                <w:u w:val="none"/>
                <w:lang w:val="en-GB"/>
              </w:rPr>
            </w:pPr>
            <w:r>
              <w:rPr>
                <w:b w:val="0"/>
                <w:bCs/>
                <w:sz w:val="22"/>
                <w:u w:val="none"/>
                <w:lang w:val="en-GB"/>
              </w:rPr>
              <w:t xml:space="preserve">Won 30 million </w:t>
            </w:r>
            <w:proofErr w:type="gramStart"/>
            <w:r>
              <w:rPr>
                <w:b w:val="0"/>
                <w:bCs/>
                <w:sz w:val="22"/>
                <w:u w:val="none"/>
                <w:lang w:val="en-GB"/>
              </w:rPr>
              <w:t>penalty</w:t>
            </w:r>
            <w:proofErr w:type="gramEnd"/>
            <w:r>
              <w:rPr>
                <w:b w:val="0"/>
                <w:bCs/>
                <w:sz w:val="22"/>
                <w:u w:val="none"/>
                <w:lang w:val="en-GB"/>
              </w:rPr>
              <w:t xml:space="preserve"> for failure to provide documentation within 60 days. May disregard documents not provided within 60ays of request. Ordinary penalties also apply – up to 70% of additional tax (including interest).</w:t>
            </w:r>
          </w:p>
        </w:tc>
        <w:tc>
          <w:tcPr>
            <w:tcW w:w="2167" w:type="dxa"/>
          </w:tcPr>
          <w:p w:rsidR="00EC74B3" w:rsidRDefault="00EC74B3">
            <w:pPr>
              <w:pStyle w:val="Title"/>
              <w:jc w:val="both"/>
              <w:rPr>
                <w:b w:val="0"/>
                <w:bCs/>
                <w:sz w:val="22"/>
                <w:u w:val="none"/>
                <w:lang w:val="en-GB"/>
              </w:rPr>
            </w:pPr>
            <w:r>
              <w:rPr>
                <w:b w:val="0"/>
                <w:bCs/>
                <w:sz w:val="22"/>
                <w:u w:val="none"/>
                <w:lang w:val="en-GB"/>
              </w:rPr>
              <w:t>United States (including Guam)</w:t>
            </w:r>
          </w:p>
        </w:tc>
        <w:tc>
          <w:tcPr>
            <w:tcW w:w="2168" w:type="dxa"/>
          </w:tcPr>
          <w:p w:rsidR="00EC74B3" w:rsidRDefault="00EC74B3">
            <w:pPr>
              <w:pStyle w:val="Title"/>
              <w:jc w:val="both"/>
              <w:rPr>
                <w:b w:val="0"/>
                <w:bCs/>
                <w:sz w:val="22"/>
                <w:u w:val="none"/>
                <w:lang w:val="en-GB"/>
              </w:rPr>
            </w:pPr>
            <w:r>
              <w:rPr>
                <w:b w:val="0"/>
                <w:bCs/>
                <w:sz w:val="22"/>
                <w:u w:val="none"/>
                <w:lang w:val="en-GB"/>
              </w:rPr>
              <w:t>Transfer pricing penalties of 20 or 40% of additional tax for adjustments exceeding objective thresholds.</w:t>
            </w:r>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United Kingdom</w:t>
            </w:r>
          </w:p>
        </w:tc>
        <w:tc>
          <w:tcPr>
            <w:tcW w:w="2966" w:type="dxa"/>
          </w:tcPr>
          <w:p w:rsidR="00EC74B3" w:rsidRDefault="00EC74B3">
            <w:pPr>
              <w:pStyle w:val="Title"/>
              <w:jc w:val="both"/>
              <w:rPr>
                <w:b w:val="0"/>
                <w:bCs/>
                <w:sz w:val="22"/>
                <w:u w:val="none"/>
                <w:lang w:val="en-GB"/>
              </w:rPr>
            </w:pPr>
            <w:r>
              <w:rPr>
                <w:b w:val="0"/>
                <w:bCs/>
                <w:sz w:val="22"/>
                <w:u w:val="none"/>
                <w:lang w:val="en-GB"/>
              </w:rPr>
              <w:t xml:space="preserve">Ordinary provisions for self assessment </w:t>
            </w:r>
            <w:proofErr w:type="gramStart"/>
            <w:r>
              <w:rPr>
                <w:b w:val="0"/>
                <w:bCs/>
                <w:sz w:val="22"/>
                <w:u w:val="none"/>
                <w:lang w:val="en-GB"/>
              </w:rPr>
              <w:t>apply  -</w:t>
            </w:r>
            <w:proofErr w:type="gramEnd"/>
            <w:r>
              <w:rPr>
                <w:b w:val="0"/>
                <w:bCs/>
                <w:sz w:val="22"/>
                <w:u w:val="none"/>
                <w:lang w:val="en-GB"/>
              </w:rPr>
              <w:t xml:space="preserve"> up to 100% of tax unpaid through fraud or negligent conduct (absence of documentation likely to constitute negligence); no penalty if taxpayer has made an “honest and reasonable” attempt to comply and has evidence to show what has been done.</w:t>
            </w:r>
          </w:p>
        </w:tc>
        <w:tc>
          <w:tcPr>
            <w:tcW w:w="2167" w:type="dxa"/>
          </w:tcPr>
          <w:p w:rsidR="00EC74B3" w:rsidRDefault="00EC74B3">
            <w:pPr>
              <w:pStyle w:val="Title"/>
              <w:jc w:val="both"/>
              <w:rPr>
                <w:b w:val="0"/>
                <w:bCs/>
                <w:sz w:val="22"/>
                <w:u w:val="none"/>
                <w:lang w:val="en-GB"/>
              </w:rPr>
            </w:pPr>
            <w:r>
              <w:rPr>
                <w:b w:val="0"/>
                <w:bCs/>
                <w:sz w:val="22"/>
                <w:u w:val="none"/>
                <w:lang w:val="en-GB"/>
              </w:rPr>
              <w:t>Malaysia</w:t>
            </w:r>
          </w:p>
        </w:tc>
        <w:tc>
          <w:tcPr>
            <w:tcW w:w="2168" w:type="dxa"/>
          </w:tcPr>
          <w:p w:rsidR="00EC74B3" w:rsidRDefault="00EC74B3">
            <w:pPr>
              <w:pStyle w:val="Title"/>
              <w:jc w:val="both"/>
              <w:rPr>
                <w:b w:val="0"/>
                <w:bCs/>
                <w:sz w:val="22"/>
                <w:u w:val="none"/>
                <w:lang w:val="en-GB"/>
              </w:rPr>
            </w:pPr>
            <w:r>
              <w:rPr>
                <w:b w:val="0"/>
                <w:bCs/>
                <w:sz w:val="22"/>
                <w:u w:val="none"/>
                <w:lang w:val="en-GB"/>
              </w:rPr>
              <w:t>Penalty only imposed if there is evidence of outright manipulation.</w:t>
            </w:r>
          </w:p>
        </w:tc>
      </w:tr>
      <w:tr w:rsidR="00EC74B3">
        <w:tblPrEx>
          <w:tblCellMar>
            <w:top w:w="0" w:type="dxa"/>
            <w:bottom w:w="0" w:type="dxa"/>
          </w:tblCellMar>
        </w:tblPrEx>
        <w:tc>
          <w:tcPr>
            <w:tcW w:w="1368" w:type="dxa"/>
          </w:tcPr>
          <w:p w:rsidR="00EC74B3" w:rsidRDefault="00EC74B3">
            <w:pPr>
              <w:pStyle w:val="Title"/>
              <w:jc w:val="both"/>
              <w:rPr>
                <w:b w:val="0"/>
                <w:bCs/>
                <w:sz w:val="22"/>
                <w:u w:val="none"/>
                <w:lang w:val="en-GB"/>
              </w:rPr>
            </w:pPr>
            <w:r>
              <w:rPr>
                <w:b w:val="0"/>
                <w:bCs/>
                <w:sz w:val="22"/>
                <w:u w:val="none"/>
                <w:lang w:val="en-GB"/>
              </w:rPr>
              <w:t>Mexico</w:t>
            </w:r>
          </w:p>
        </w:tc>
        <w:tc>
          <w:tcPr>
            <w:tcW w:w="2966" w:type="dxa"/>
          </w:tcPr>
          <w:p w:rsidR="00EC74B3" w:rsidRDefault="00EC74B3">
            <w:pPr>
              <w:pStyle w:val="Title"/>
              <w:jc w:val="both"/>
              <w:rPr>
                <w:b w:val="0"/>
                <w:bCs/>
                <w:sz w:val="22"/>
                <w:u w:val="none"/>
                <w:lang w:val="en-GB"/>
              </w:rPr>
            </w:pPr>
            <w:r>
              <w:rPr>
                <w:b w:val="0"/>
                <w:bCs/>
                <w:sz w:val="22"/>
                <w:u w:val="none"/>
                <w:lang w:val="en-GB"/>
              </w:rPr>
              <w:t>Ordinary penalties apply – 50% of tax deficiency if paid before notice of deficiency issued, 70 to 100% in other cases.</w:t>
            </w:r>
          </w:p>
        </w:tc>
        <w:tc>
          <w:tcPr>
            <w:tcW w:w="2167" w:type="dxa"/>
          </w:tcPr>
          <w:p w:rsidR="00EC74B3" w:rsidRDefault="00EC74B3">
            <w:pPr>
              <w:pStyle w:val="Title"/>
              <w:jc w:val="both"/>
              <w:rPr>
                <w:b w:val="0"/>
                <w:bCs/>
                <w:sz w:val="22"/>
                <w:u w:val="none"/>
                <w:lang w:val="en-GB"/>
              </w:rPr>
            </w:pPr>
            <w:r>
              <w:rPr>
                <w:b w:val="0"/>
                <w:bCs/>
                <w:sz w:val="22"/>
                <w:u w:val="none"/>
                <w:lang w:val="en-GB"/>
              </w:rPr>
              <w:t>Brazil</w:t>
            </w:r>
          </w:p>
        </w:tc>
        <w:tc>
          <w:tcPr>
            <w:tcW w:w="2168" w:type="dxa"/>
          </w:tcPr>
          <w:p w:rsidR="00EC74B3" w:rsidRDefault="00EC74B3">
            <w:pPr>
              <w:pStyle w:val="Title"/>
              <w:jc w:val="both"/>
              <w:rPr>
                <w:b w:val="0"/>
                <w:bCs/>
                <w:sz w:val="22"/>
                <w:u w:val="none"/>
                <w:lang w:val="en-GB"/>
              </w:rPr>
            </w:pPr>
            <w:r>
              <w:rPr>
                <w:b w:val="0"/>
                <w:bCs/>
                <w:sz w:val="22"/>
                <w:u w:val="none"/>
                <w:lang w:val="en-GB"/>
              </w:rPr>
              <w:t>Ordinary penalties apply based on additional tax: 75-150% if all documentation available; 112.5-225% if documentation and information is not provided to authorities upon request.</w:t>
            </w:r>
          </w:p>
        </w:tc>
      </w:tr>
    </w:tbl>
    <w:p w:rsidR="00EC74B3" w:rsidRDefault="00EC74B3">
      <w:pPr>
        <w:pStyle w:val="Title"/>
        <w:jc w:val="both"/>
        <w:rPr>
          <w:b w:val="0"/>
          <w:bCs/>
          <w:lang w:val="en-GB"/>
        </w:rPr>
      </w:pPr>
    </w:p>
    <w:p w:rsidR="00EC74B3" w:rsidRDefault="00EC74B3">
      <w:pPr>
        <w:pStyle w:val="Title"/>
        <w:spacing w:line="360" w:lineRule="auto"/>
        <w:ind w:firstLine="630"/>
        <w:jc w:val="both"/>
        <w:rPr>
          <w:b w:val="0"/>
          <w:bCs/>
          <w:sz w:val="24"/>
          <w:u w:val="none"/>
          <w:lang w:val="en-GB"/>
        </w:rPr>
      </w:pPr>
      <w:r>
        <w:rPr>
          <w:b w:val="0"/>
          <w:bCs/>
          <w:sz w:val="24"/>
          <w:u w:val="none"/>
          <w:lang w:val="en-GB"/>
        </w:rPr>
        <w:lastRenderedPageBreak/>
        <w:t xml:space="preserve">The Group is of the view that considering the existing legal position, it would be appropriate to follow the U. K. model, wherein no penalty is leviable if honest and reasonable attempt to arrive at the arm’s length price is demonstrated to the satisfaction of the Assessing Officer. So far as the quantum of penalty is concerned the Korean approach is advocated by the Group, as per which there should be penalty for failure to submit documents and also for the adjustment to transfer prices.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 </w:t>
      </w:r>
    </w:p>
    <w:p w:rsidR="00EC74B3" w:rsidRDefault="00EC74B3">
      <w:pPr>
        <w:pStyle w:val="Title"/>
        <w:rPr>
          <w:lang w:val="en-GB"/>
        </w:rPr>
      </w:pPr>
      <w:r>
        <w:rPr>
          <w:lang w:val="en-GB"/>
        </w:rPr>
        <w:t>ALTERNATIVE DISPUTES RESOLUTION MECHANISM</w:t>
      </w:r>
    </w:p>
    <w:p w:rsidR="00EC74B3" w:rsidRDefault="00EC74B3">
      <w:pPr>
        <w:spacing w:line="360" w:lineRule="auto"/>
        <w:ind w:firstLine="720"/>
        <w:jc w:val="both"/>
      </w:pPr>
      <w:r>
        <w:t>The common factors that impede settlement of transfer pricing disputes are: (1) the absence of an objective standard, (2) the large amounts in dispute, and (3) the failure to narrow the issues and theories prior to trial. In view of the fact that transfer pricing is not science there always remains scope for divergence in interpretation. At times, the interpretation by tax administration does not find favour with judicial authorities. For example, in US only 19.6 per cent of the section 482 adjustments developed in examination are sustained through the IRS administrative appeal process. Due to the complexity of the issues and the sheer volume of factual information comprising the record in transfer pricing cases, a court may take a long time to render a decision. Hence, for speedy resolution of disputes it is necessary to look for an alternative mechanism.</w:t>
      </w:r>
    </w:p>
    <w:p w:rsidR="00EC74B3" w:rsidRDefault="00EC74B3" w:rsidP="005077F7">
      <w:pPr>
        <w:numPr>
          <w:ilvl w:val="0"/>
          <w:numId w:val="45"/>
        </w:numPr>
        <w:spacing w:line="360" w:lineRule="auto"/>
        <w:jc w:val="both"/>
      </w:pPr>
      <w:r>
        <w:rPr>
          <w:b/>
        </w:rPr>
        <w:t>The Mutual Agreement Procedure</w:t>
      </w:r>
    </w:p>
    <w:p w:rsidR="00EC74B3" w:rsidRDefault="00EC74B3">
      <w:pPr>
        <w:pStyle w:val="BodyTextIndent"/>
        <w:spacing w:line="360" w:lineRule="auto"/>
        <w:ind w:left="0" w:right="14" w:firstLine="0"/>
        <w:jc w:val="both"/>
        <w:rPr>
          <w:rFonts w:ascii="Times New Roman" w:hAnsi="Times New Roman" w:cs="Times New Roman"/>
          <w:lang w:val="en-GB"/>
        </w:rPr>
      </w:pPr>
      <w:r>
        <w:rPr>
          <w:rFonts w:ascii="Times New Roman" w:hAnsi="Times New Roman" w:cs="Times New Roman"/>
          <w:lang w:val="en-GB"/>
        </w:rPr>
        <w:t>In the commentary on Model Tax convention the OECD recognises that there may be difficulties of interpretation or application in connection with the implementation of a bilateral tax treaty, as in connection with the implementation of any treaty. Consequently, the need for a mutual agreement procedure for resolving any such disagreement was felt. This resulted in adoption of Article 25, which lays down the procedure for mutual agreement. It recognises that if there is adjustment to the result shown by a taxpayer due to application of Article 9 and the taxpayer is not satisfied with that then recourse can be taken to the mutual agreement procedure.</w:t>
      </w:r>
    </w:p>
    <w:p w:rsidR="00EC74B3" w:rsidRDefault="00EC74B3">
      <w:pPr>
        <w:spacing w:line="360" w:lineRule="auto"/>
        <w:ind w:firstLine="720"/>
        <w:jc w:val="both"/>
      </w:pPr>
      <w:r>
        <w:t>However, in practice this mechanism has not been found to be very successful. The Group feels that in respect of cases of transfer pricing this mechanism may not be sufficient because there may be a large number of cases of dispute due to which there may not be prompt resolution of disputes.</w:t>
      </w:r>
    </w:p>
    <w:p w:rsidR="00EC74B3" w:rsidRDefault="00EC74B3" w:rsidP="005077F7">
      <w:pPr>
        <w:numPr>
          <w:ilvl w:val="0"/>
          <w:numId w:val="45"/>
        </w:numPr>
        <w:spacing w:line="360" w:lineRule="auto"/>
        <w:rPr>
          <w:b/>
          <w:sz w:val="28"/>
        </w:rPr>
      </w:pPr>
      <w:r>
        <w:rPr>
          <w:b/>
          <w:sz w:val="28"/>
        </w:rPr>
        <w:t>Advance Pricing Arrangements</w:t>
      </w:r>
    </w:p>
    <w:p w:rsidR="00EC74B3" w:rsidRDefault="00EC74B3">
      <w:pPr>
        <w:pStyle w:val="BodyText2"/>
        <w:spacing w:line="360" w:lineRule="auto"/>
        <w:ind w:firstLine="720"/>
        <w:jc w:val="both"/>
        <w:rPr>
          <w:rFonts w:ascii="Times New Roman" w:hAnsi="Times New Roman" w:cs="Times New Roman"/>
          <w:b w:val="0"/>
          <w:bCs w:val="0"/>
          <w:lang w:val="en-GB"/>
        </w:rPr>
      </w:pPr>
      <w:r>
        <w:rPr>
          <w:rFonts w:ascii="Times New Roman" w:hAnsi="Times New Roman" w:cs="Times New Roman"/>
          <w:b w:val="0"/>
          <w:bCs w:val="0"/>
          <w:lang w:val="en-GB"/>
        </w:rPr>
        <w:lastRenderedPageBreak/>
        <w:t xml:space="preserve">The US turned to alternative dispute resolution (ADR) principals to resolve transfer pricing disputes more effectively. The term ADR normally refers to any process designed to settle disputes without litigation. The most important ADR is the Advance Pricing Arrangement (APA) process. This allows the taxpayers and the tax administration to avoid a transfer pricing dispute in future years by agreeing to transfer pricing methodology and negotiating an acceptable range of results. </w:t>
      </w:r>
    </w:p>
    <w:p w:rsidR="00EC74B3" w:rsidRDefault="00EC74B3">
      <w:pPr>
        <w:spacing w:line="360" w:lineRule="auto"/>
        <w:ind w:firstLine="720"/>
        <w:jc w:val="both"/>
      </w:pPr>
      <w:r>
        <w:t>An advance pricing agreement (“APA”) is an arrangement that determines, in advance of controlled transactions, an appropriate set of criteria (e.g. method, comparable and appropriate adjustments thereto, critical assumption as to future events) for the determination of the transfer pricing for those transactions over a fixed period of time. An APA is formally initiated by a taxpayer and requires negotiations between the taxpayer, one or more associated enterprises, and one or more tax administration. APAs are intended to supplement the traditional administrative, judicial and treaty mechanisms for resolving transfer pricing issues. It may be useful when traditional mechanisms fail or are difficult to apply.</w:t>
      </w:r>
    </w:p>
    <w:p w:rsidR="00EC74B3" w:rsidRDefault="00EC74B3">
      <w:pPr>
        <w:spacing w:line="360" w:lineRule="auto"/>
        <w:ind w:firstLine="720"/>
        <w:jc w:val="both"/>
      </w:pPr>
      <w:r>
        <w:t>One key issue in concept of APA is how specific they can be in prescribing a taxpayer’s transfer pricing over a period of years, for example, whether only the transfer pricing methodology or more particular results can be fixed in a particular case. In deciding how specific an APA can be in a particular case, tax administrations should recognise that predictions of absolute future profit experience seems least plausible.</w:t>
      </w:r>
    </w:p>
    <w:p w:rsidR="00EC74B3" w:rsidRDefault="00EC74B3">
      <w:pPr>
        <w:spacing w:line="360" w:lineRule="auto"/>
        <w:jc w:val="both"/>
      </w:pPr>
      <w:r>
        <w:t>APAs are of two types:</w:t>
      </w:r>
    </w:p>
    <w:p w:rsidR="00EC74B3" w:rsidRDefault="00EC74B3" w:rsidP="005077F7">
      <w:pPr>
        <w:numPr>
          <w:ilvl w:val="0"/>
          <w:numId w:val="46"/>
        </w:numPr>
        <w:spacing w:line="360" w:lineRule="auto"/>
        <w:jc w:val="both"/>
      </w:pPr>
      <w:r>
        <w:rPr>
          <w:u w:val="single"/>
        </w:rPr>
        <w:t>Unilateral arrangement</w:t>
      </w:r>
      <w:r>
        <w:t>, where the tax administration and the taxpayer in its jurisdiction establish an arrangement without involvement of other interested tax administrations. However, a unilateral APA may affect the tax liability of associated enterprises in other tax jurisdictions.</w:t>
      </w:r>
    </w:p>
    <w:p w:rsidR="00EC74B3" w:rsidRDefault="00EC74B3" w:rsidP="005077F7">
      <w:pPr>
        <w:numPr>
          <w:ilvl w:val="0"/>
          <w:numId w:val="46"/>
        </w:numPr>
        <w:spacing w:line="360" w:lineRule="auto"/>
        <w:jc w:val="both"/>
      </w:pPr>
      <w:r>
        <w:t xml:space="preserve">Bilateral or multilateral arrangement, where tow or more countries are involved. This arrangement reduces risk of double taxation.  </w:t>
      </w:r>
    </w:p>
    <w:p w:rsidR="00EC74B3" w:rsidRDefault="00EC74B3">
      <w:pPr>
        <w:pStyle w:val="BodyTextIndent2"/>
        <w:spacing w:line="360" w:lineRule="auto"/>
        <w:ind w:left="0" w:firstLine="720"/>
        <w:jc w:val="both"/>
        <w:rPr>
          <w:rFonts w:ascii="Times New Roman" w:hAnsi="Times New Roman" w:cs="Times New Roman"/>
          <w:lang w:val="en-GB"/>
        </w:rPr>
      </w:pPr>
      <w:r>
        <w:rPr>
          <w:rFonts w:ascii="Times New Roman" w:hAnsi="Times New Roman" w:cs="Times New Roman"/>
          <w:lang w:val="en-GB"/>
        </w:rPr>
        <w:t xml:space="preserve">An APA differs from private ruling as it generally deals with factual issues, whereas more traditional private rulings tend to be limited to addressing questions of a legal nature based on facts presented by a taxpayer. Further, the facts underlying a private ruling request may not be questioned by the tax administration, whereas in an APA the facts are likely to be thoroughly analysed and investigated. Finally, an APA usually covers several transactions, several types of transaction on a continuing basis, </w:t>
      </w:r>
      <w:r>
        <w:rPr>
          <w:rFonts w:ascii="Times New Roman" w:hAnsi="Times New Roman" w:cs="Times New Roman"/>
          <w:lang w:val="en-GB"/>
        </w:rPr>
        <w:lastRenderedPageBreak/>
        <w:t>or all of a taxpayer’s international transactions for a given period of time. In contrast, a private ruling request usually is binding only for a particular transaction.</w:t>
      </w:r>
    </w:p>
    <w:p w:rsidR="00EC74B3" w:rsidRDefault="00EC74B3">
      <w:pPr>
        <w:spacing w:line="360" w:lineRule="auto"/>
        <w:ind w:firstLine="720"/>
        <w:jc w:val="both"/>
      </w:pPr>
      <w:r>
        <w:tab/>
        <w:t xml:space="preserve">The success of APA system depends on the rules as well as the actual implementation by the involved authorities. The success critically depends on the co-operation of the associated enterprises. Typically, associated enterprises are allowed to participate in an APA, by presenting the case to and negotiating with the tax administration concerned, providing necessary information, and reaching agreement on the transfer pricing issues. At the conclusion of an APA process, the tax administrations should provide confirmation to the associated enterprises in their jurisdiction that no transfer pricing adjustment will be made so long as the taxpayer follows the terms of the arrangements. There should also be a provision in the APA that provides for possible revision or cancellation when the assumption on which the arrangement was based changes substantially. </w:t>
      </w:r>
    </w:p>
    <w:p w:rsidR="00EC74B3" w:rsidRDefault="00EC74B3">
      <w:pPr>
        <w:pStyle w:val="BodyText2"/>
        <w:spacing w:line="360" w:lineRule="auto"/>
        <w:ind w:firstLine="576"/>
        <w:jc w:val="both"/>
        <w:rPr>
          <w:rFonts w:ascii="Times New Roman" w:hAnsi="Times New Roman" w:cs="Times New Roman"/>
          <w:b w:val="0"/>
          <w:bCs w:val="0"/>
          <w:lang w:val="en-GB"/>
        </w:rPr>
      </w:pPr>
      <w:r>
        <w:rPr>
          <w:rFonts w:ascii="Times New Roman" w:hAnsi="Times New Roman" w:cs="Times New Roman"/>
          <w:b w:val="0"/>
          <w:bCs w:val="0"/>
          <w:lang w:val="en-GB"/>
        </w:rPr>
        <w:t xml:space="preserve">The APA programme creates a non-adversarial environment in which transfer pricing issues can be discussed in a professional setting.  Its biggest advantage is that it eliminates uncertainty for taxpayers.  Further, it presents costly and time-consuming examination and litigation on major transfer pricing issues for both taxpayers and tax administrations.   </w:t>
      </w:r>
    </w:p>
    <w:p w:rsidR="00EC74B3" w:rsidRDefault="00EC74B3">
      <w:pPr>
        <w:spacing w:line="360" w:lineRule="auto"/>
        <w:jc w:val="both"/>
      </w:pPr>
      <w:r>
        <w:t xml:space="preserve">However, it suffers from certain disadvantages also. </w:t>
      </w:r>
      <w:proofErr w:type="gramStart"/>
      <w:r>
        <w:t>The most important of them being uncertainty about double taxation in unilateral arrangements.</w:t>
      </w:r>
      <w:proofErr w:type="gramEnd"/>
      <w:r>
        <w:t xml:space="preserve"> This may be particularly, where APAs are not in accordance with the arm’s length principle.  Another potential disadvantage could occur where one tax administration has undertaken a number of bilateral APAs, which involve only certain of the associated enterprises within an MNE group. A tendency may exist to harmonise the basis for concluding later APAs in a way similar to those previously concluded without sufficient regard being had to the conditions operating in other markets. </w:t>
      </w:r>
    </w:p>
    <w:p w:rsidR="00EC74B3" w:rsidRDefault="00EC74B3">
      <w:pPr>
        <w:spacing w:line="360" w:lineRule="auto"/>
        <w:jc w:val="both"/>
      </w:pPr>
      <w:r>
        <w:t xml:space="preserve">Experience in some countries has shown that, most often, taxpayers </w:t>
      </w:r>
      <w:proofErr w:type="gramStart"/>
      <w:r>
        <w:t>which</w:t>
      </w:r>
      <w:proofErr w:type="gramEnd"/>
      <w:r>
        <w:t xml:space="preserve"> would be interested in APAs are very large corporations which would be audited on a regular basis, with their pricing methodology then being examined in any event. There is then a serious danger of audit resources and expertise being diverted to these taxpayers and away from the investigation of less complaint taxpayers, where these resources could be better deployed in reducing the risk of losing tax revenue.</w:t>
      </w:r>
    </w:p>
    <w:p w:rsidR="00EC74B3" w:rsidRDefault="00EC74B3">
      <w:pPr>
        <w:pStyle w:val="Heading3"/>
      </w:pPr>
      <w:r>
        <w:t xml:space="preserve">International experience of APAs </w:t>
      </w:r>
    </w:p>
    <w:p w:rsidR="00EC74B3" w:rsidRDefault="00EC74B3">
      <w:pPr>
        <w:spacing w:line="360" w:lineRule="auto"/>
        <w:jc w:val="both"/>
      </w:pPr>
      <w:r>
        <w:rPr>
          <w:u w:val="single"/>
        </w:rPr>
        <w:t xml:space="preserve">United States </w:t>
      </w:r>
      <w:proofErr w:type="gramStart"/>
      <w:r>
        <w:rPr>
          <w:u w:val="single"/>
        </w:rPr>
        <w:t>Of</w:t>
      </w:r>
      <w:proofErr w:type="gramEnd"/>
      <w:r>
        <w:rPr>
          <w:u w:val="single"/>
        </w:rPr>
        <w:t xml:space="preserve"> America</w:t>
      </w:r>
    </w:p>
    <w:p w:rsidR="00EC74B3" w:rsidRDefault="00EC74B3">
      <w:pPr>
        <w:spacing w:line="360" w:lineRule="auto"/>
        <w:jc w:val="both"/>
      </w:pPr>
      <w:r>
        <w:lastRenderedPageBreak/>
        <w:t xml:space="preserve"> UNCTAD (1997) reports that the APA programme instituted by the IRS in 1991 in Revenue Procedure 91-22 in the most detailed and formalised programme currently implemented. Advance ruling are formalised in the APA process with specific disclosure procedures and restrictions. As of October 1995, the IRS had completed 41 APAs, had 109 MNEs in the programme at various stages and 56 MNEs actively considering the process at the preliminary discussion stage. The average time to conclude an agreement is currently between ten and fourteen months.</w:t>
      </w:r>
    </w:p>
    <w:p w:rsidR="00EC74B3" w:rsidRDefault="00EC74B3">
      <w:pPr>
        <w:spacing w:line="360" w:lineRule="auto"/>
        <w:jc w:val="both"/>
      </w:pPr>
      <w:r>
        <w:t xml:space="preserve">The IRS, in its revised Revenue Procedure 96-53, allows MNEs the option of retroactively applying the APA’s terms to an MNE’s open years. If an MNE reaches an APA in 1997, the term can be applied prospectively, i.e. to 1998 and beyond, and retrospectively, requesting a rollback to any year which </w:t>
      </w:r>
      <w:proofErr w:type="gramStart"/>
      <w:r>
        <w:t>are</w:t>
      </w:r>
      <w:proofErr w:type="gramEnd"/>
      <w:r>
        <w:t xml:space="preserve"> still open with the IRS, i.e. have not been audited or closed.</w:t>
      </w:r>
    </w:p>
    <w:p w:rsidR="00EC74B3" w:rsidRDefault="00EC74B3">
      <w:pPr>
        <w:spacing w:line="360" w:lineRule="auto"/>
        <w:jc w:val="both"/>
        <w:rPr>
          <w:u w:val="single"/>
        </w:rPr>
      </w:pPr>
      <w:r>
        <w:rPr>
          <w:u w:val="single"/>
        </w:rPr>
        <w:t>United Kingdom</w:t>
      </w:r>
    </w:p>
    <w:p w:rsidR="00EC74B3" w:rsidRDefault="00EC74B3">
      <w:pPr>
        <w:spacing w:line="360" w:lineRule="auto"/>
        <w:jc w:val="both"/>
      </w:pPr>
      <w:r>
        <w:t>Inland Revenue employs an informal process to negotiate APAs using the double taxation relief provisions contained in United Kingdom tax treaties with other countries. While no specific procedures or Guidelines currently exist, the establishment of a formal programme is being considered. The APAs will be part of a broader advance ruling programme, with the potential for pre-transaction rulings.</w:t>
      </w:r>
    </w:p>
    <w:p w:rsidR="00EC74B3" w:rsidRDefault="00EC74B3">
      <w:pPr>
        <w:spacing w:line="360" w:lineRule="auto"/>
        <w:jc w:val="both"/>
        <w:rPr>
          <w:u w:val="single"/>
        </w:rPr>
      </w:pPr>
      <w:r>
        <w:rPr>
          <w:u w:val="single"/>
        </w:rPr>
        <w:t>Canada</w:t>
      </w:r>
    </w:p>
    <w:p w:rsidR="00EC74B3" w:rsidRDefault="00EC74B3">
      <w:pPr>
        <w:spacing w:line="360" w:lineRule="auto"/>
        <w:jc w:val="both"/>
      </w:pPr>
      <w:r>
        <w:t>In February 1995, Revenue Canada issued Information Circular 9404 formalising the APA programme and detailing disclosure procedures and restrictions. These Guidelines do not set the actual prices, but provide the means to agree upon an appropriate method for setting the price. In any dispute, however, the competent authority (and not the taxing authority, as in the United States) has the final decision on the terms of the negotiated APA.</w:t>
      </w:r>
    </w:p>
    <w:p w:rsidR="00EC74B3" w:rsidRDefault="00EC74B3">
      <w:pPr>
        <w:spacing w:line="360" w:lineRule="auto"/>
        <w:jc w:val="both"/>
        <w:rPr>
          <w:u w:val="single"/>
        </w:rPr>
      </w:pPr>
      <w:r>
        <w:rPr>
          <w:u w:val="single"/>
        </w:rPr>
        <w:t>Germany</w:t>
      </w:r>
    </w:p>
    <w:p w:rsidR="00EC74B3" w:rsidRDefault="00EC74B3">
      <w:pPr>
        <w:spacing w:line="360" w:lineRule="auto"/>
        <w:jc w:val="both"/>
      </w:pPr>
      <w:r>
        <w:t>MNEs can request advance (binding) ruling or settlement, but these rulings are not common, but specifically restricted to transfer pricing issues and are not guaranteed. Although the programme is informal, these are specific disclosure procedures and restrictions for foreign taxes paid to home-based MNEs. The informal procedure is due to lack to demand for a formal APA process by MNEs, whether based in Germany or in other countries.</w:t>
      </w:r>
    </w:p>
    <w:p w:rsidR="00EC74B3" w:rsidRDefault="00EC74B3">
      <w:pPr>
        <w:spacing w:line="360" w:lineRule="auto"/>
        <w:jc w:val="both"/>
        <w:rPr>
          <w:u w:val="single"/>
        </w:rPr>
      </w:pPr>
      <w:r>
        <w:rPr>
          <w:u w:val="single"/>
        </w:rPr>
        <w:t>Japan</w:t>
      </w:r>
    </w:p>
    <w:p w:rsidR="00EC74B3" w:rsidRDefault="00EC74B3">
      <w:pPr>
        <w:spacing w:line="360" w:lineRule="auto"/>
        <w:jc w:val="both"/>
      </w:pPr>
      <w:r>
        <w:lastRenderedPageBreak/>
        <w:t>The Japanese Pre-Confirmation System (PCS) is most active with United States bank holding companies. In this industry segment, the PCS deals with the appropriate allocations of profits from derivatives between home and host countries. The PCS provides agreement between the tax administration and the MNE on the transfer pricing method to be used, chosen from a list of acceptable methods. It does not, like the United States, consider the arm’s length nature of transfer prices and the range of those prices.</w:t>
      </w:r>
    </w:p>
    <w:p w:rsidR="00EC74B3" w:rsidRDefault="00EC74B3">
      <w:pPr>
        <w:pStyle w:val="BodyText"/>
        <w:spacing w:line="360" w:lineRule="auto"/>
        <w:jc w:val="both"/>
        <w:outlineLvl w:val="0"/>
        <w:rPr>
          <w:rFonts w:ascii="Times New Roman" w:hAnsi="Times New Roman" w:cs="Times New Roman"/>
          <w:b/>
          <w:sz w:val="24"/>
          <w:u w:val="single"/>
          <w:lang w:val="en-GB"/>
        </w:rPr>
      </w:pPr>
      <w:r>
        <w:rPr>
          <w:rFonts w:ascii="Times New Roman" w:hAnsi="Times New Roman" w:cs="Times New Roman"/>
          <w:b/>
          <w:sz w:val="24"/>
          <w:u w:val="single"/>
          <w:lang w:val="en-GB"/>
        </w:rPr>
        <w:t>Advance Rulings</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
          <w:sz w:val="24"/>
          <w:lang w:val="en-GB"/>
        </w:rPr>
        <w:t>2.9.1</w:t>
      </w:r>
      <w:r>
        <w:rPr>
          <w:rFonts w:ascii="Times New Roman" w:hAnsi="Times New Roman" w:cs="Times New Roman"/>
          <w:b/>
          <w:sz w:val="24"/>
          <w:lang w:val="en-GB"/>
        </w:rPr>
        <w:tab/>
      </w:r>
      <w:r>
        <w:rPr>
          <w:rFonts w:ascii="Times New Roman" w:hAnsi="Times New Roman" w:cs="Times New Roman"/>
          <w:bCs/>
          <w:sz w:val="24"/>
          <w:lang w:val="en-GB"/>
        </w:rPr>
        <w:t xml:space="preserve">Realising that the existing judicial system in India is time-consuming and may discourage foreigners from investing in India, Authority for Advance Ruling was set up as an alternative dispute resolution mechanism. The scheme of advance ruling was introduced through Finance Bill, 1993. The rulings are made binding on both the tax administration and taxpayer. </w:t>
      </w:r>
    </w:p>
    <w:p w:rsidR="00EC74B3" w:rsidRDefault="00EC74B3">
      <w:pPr>
        <w:pStyle w:val="BodyText"/>
        <w:spacing w:line="360" w:lineRule="auto"/>
        <w:jc w:val="both"/>
        <w:outlineLvl w:val="0"/>
        <w:rPr>
          <w:rFonts w:ascii="Times New Roman" w:hAnsi="Times New Roman" w:cs="Times New Roman"/>
          <w:bCs/>
          <w:sz w:val="24"/>
          <w:lang w:val="en-GB"/>
        </w:rPr>
      </w:pPr>
    </w:p>
    <w:p w:rsidR="00EC74B3" w:rsidRDefault="00EC74B3">
      <w:pPr>
        <w:pStyle w:val="BodyText"/>
        <w:spacing w:line="360" w:lineRule="auto"/>
        <w:jc w:val="both"/>
        <w:outlineLvl w:val="0"/>
        <w:rPr>
          <w:rFonts w:ascii="Times New Roman" w:hAnsi="Times New Roman" w:cs="Times New Roman"/>
          <w:bCs/>
          <w:sz w:val="24"/>
          <w:lang w:val="en-GB"/>
        </w:rPr>
      </w:pPr>
      <w:r>
        <w:rPr>
          <w:rFonts w:ascii="Times New Roman" w:hAnsi="Times New Roman" w:cs="Times New Roman"/>
          <w:b/>
          <w:sz w:val="24"/>
          <w:lang w:val="en-GB"/>
        </w:rPr>
        <w:t>2.9.2</w:t>
      </w:r>
      <w:r>
        <w:rPr>
          <w:rFonts w:ascii="Times New Roman" w:hAnsi="Times New Roman" w:cs="Times New Roman"/>
          <w:bCs/>
          <w:sz w:val="24"/>
          <w:lang w:val="en-GB"/>
        </w:rPr>
        <w:tab/>
        <w:t xml:space="preserve">However, the Authority </w:t>
      </w:r>
      <w:proofErr w:type="gramStart"/>
      <w:r>
        <w:rPr>
          <w:rFonts w:ascii="Times New Roman" w:hAnsi="Times New Roman" w:cs="Times New Roman"/>
          <w:bCs/>
          <w:sz w:val="24"/>
          <w:lang w:val="en-GB"/>
        </w:rPr>
        <w:t>is  precluded</w:t>
      </w:r>
      <w:proofErr w:type="gramEnd"/>
      <w:r>
        <w:rPr>
          <w:rFonts w:ascii="Times New Roman" w:hAnsi="Times New Roman" w:cs="Times New Roman"/>
          <w:bCs/>
          <w:sz w:val="24"/>
          <w:lang w:val="en-GB"/>
        </w:rPr>
        <w:t xml:space="preserve"> from deliberating on the following three types of questions: -</w:t>
      </w:r>
    </w:p>
    <w:p w:rsidR="00EC74B3" w:rsidRDefault="00EC74B3" w:rsidP="005077F7">
      <w:pPr>
        <w:pStyle w:val="BodyText"/>
        <w:numPr>
          <w:ilvl w:val="0"/>
          <w:numId w:val="23"/>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The Authority cannot allow any application where the question raised in it is already pending in the applicant's case before any income-tax authority, the Appellate Tribunal or any court.</w:t>
      </w:r>
    </w:p>
    <w:p w:rsidR="00EC74B3" w:rsidRDefault="00EC74B3" w:rsidP="005077F7">
      <w:pPr>
        <w:pStyle w:val="BodyText"/>
        <w:numPr>
          <w:ilvl w:val="0"/>
          <w:numId w:val="23"/>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The second prohibition is on questions relating to the determination of fair market value of any property, movable or immovable. This will keep out of the purview of the Authority questions as to valuation and, perhaps, such vital issues as transfer pricing.</w:t>
      </w:r>
    </w:p>
    <w:p w:rsidR="00EC74B3" w:rsidRDefault="00EC74B3" w:rsidP="005077F7">
      <w:pPr>
        <w:pStyle w:val="BodyText"/>
        <w:numPr>
          <w:ilvl w:val="0"/>
          <w:numId w:val="23"/>
        </w:numPr>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 xml:space="preserve">Thirdly, the Authority would not allow any application if it relates to a transaction that is designed </w:t>
      </w:r>
      <w:r>
        <w:rPr>
          <w:rFonts w:ascii="Times New Roman" w:hAnsi="Times New Roman" w:cs="Times New Roman"/>
          <w:bCs/>
          <w:i/>
          <w:sz w:val="24"/>
          <w:lang w:val="en-GB"/>
        </w:rPr>
        <w:t>prima facie</w:t>
      </w:r>
      <w:r>
        <w:rPr>
          <w:rFonts w:ascii="Times New Roman" w:hAnsi="Times New Roman" w:cs="Times New Roman"/>
          <w:bCs/>
          <w:sz w:val="24"/>
          <w:lang w:val="en-GB"/>
        </w:rPr>
        <w:t xml:space="preserve"> for the avoidance of income tax.</w:t>
      </w:r>
    </w:p>
    <w:p w:rsidR="00EC74B3" w:rsidRDefault="00EC74B3">
      <w:pPr>
        <w:pStyle w:val="BodyText"/>
        <w:spacing w:line="360" w:lineRule="auto"/>
        <w:jc w:val="both"/>
        <w:rPr>
          <w:rFonts w:ascii="Times New Roman" w:hAnsi="Times New Roman" w:cs="Times New Roman"/>
          <w:bCs/>
          <w:sz w:val="24"/>
          <w:lang w:val="en-GB"/>
        </w:rPr>
      </w:pPr>
      <w:r>
        <w:rPr>
          <w:rFonts w:ascii="Times New Roman" w:hAnsi="Times New Roman" w:cs="Times New Roman"/>
          <w:bCs/>
          <w:sz w:val="24"/>
          <w:lang w:val="en-GB"/>
        </w:rPr>
        <w:t xml:space="preserve">Though, establishment of the institution of the Authority of Advance Ruling goes a long way in reducing prolonged litigation and uncertainty for the non-residents, it can be of no help in solving problems relating to transfer pricing because determination of fair market value of goods has been kept out of the Authority’s jurisdiction. </w:t>
      </w:r>
    </w:p>
    <w:p w:rsidR="00EC74B3" w:rsidRDefault="00EC74B3">
      <w:pPr>
        <w:spacing w:line="360" w:lineRule="auto"/>
        <w:jc w:val="both"/>
      </w:pPr>
    </w:p>
    <w:p w:rsidR="00EC74B3" w:rsidRDefault="00EC74B3">
      <w:pPr>
        <w:spacing w:line="360" w:lineRule="auto"/>
        <w:rPr>
          <w:b/>
          <w:sz w:val="28"/>
        </w:rPr>
      </w:pPr>
      <w:proofErr w:type="gramStart"/>
      <w:r>
        <w:rPr>
          <w:b/>
          <w:sz w:val="28"/>
          <w:u w:val="single"/>
        </w:rPr>
        <w:t>(iv) Arbitration</w:t>
      </w:r>
      <w:proofErr w:type="gramEnd"/>
    </w:p>
    <w:p w:rsidR="00EC74B3" w:rsidRDefault="00EC74B3">
      <w:pPr>
        <w:spacing w:line="360" w:lineRule="auto"/>
        <w:ind w:firstLine="720"/>
        <w:jc w:val="both"/>
      </w:pPr>
      <w:r>
        <w:t xml:space="preserve">Recently, arbitration is being recommended as a means to reduce litigation arising from transfer pricing adjustments. In 1990, an arbitration agreement entitled </w:t>
      </w:r>
      <w:r>
        <w:lastRenderedPageBreak/>
        <w:t>‘Convention on the Elimination of Double Taxation in Connection with Adjustments of Profits of Associated Enterprises’ was signed by the then 12 members of the European Community (EC) in an attempt to institute an alternative to the mutual agreement procedure found in most bilateral tax treaties. However, due to the sovereignty concerns raised by several EC members, the convention has not been ratified and, therefore, has not entered into force. By contrast, the United States has incorporated into its recent bilateral tax treaties with Germany, Mexico and the Netherlands, a provision for the use of arbitration in cases where a solution cannot be reached via the mutual agreement procedure. Likewise, outside the bilateral sphere, the United States has been also using arbitration to resolve transfer pricing disputes brought to court under domestic legislation.</w:t>
      </w:r>
    </w:p>
    <w:p w:rsidR="00EC74B3" w:rsidRDefault="00EC74B3">
      <w:pPr>
        <w:pStyle w:val="Heading1"/>
        <w:rPr>
          <w:lang w:val="en-GB"/>
        </w:rPr>
      </w:pPr>
      <w:r>
        <w:rPr>
          <w:lang w:val="en-GB"/>
        </w:rPr>
        <w:t>SUGGESTIONS</w:t>
      </w:r>
    </w:p>
    <w:p w:rsidR="00EC74B3" w:rsidRDefault="00EC74B3">
      <w:pPr>
        <w:spacing w:line="360" w:lineRule="auto"/>
        <w:jc w:val="both"/>
      </w:pPr>
      <w:r>
        <w:tab/>
        <w:t xml:space="preserve">At present in India Authority of Advance Rulings provide an alternative Dispute Resolution mechanism. However, it suffers from serious shortcoming as has been highlighted in Chapter II.  In view of this, the Group is feels that as alternative dispute resolution mechanism a combination of APA and arbitration would be the best possible solution. However, in view of the fact that it would take some time for taxpayers and tax administration to become aware of the actual working of the transfer pricing system it would be advisable to incorporate </w:t>
      </w:r>
    </w:p>
    <w:p w:rsidR="00EC74B3" w:rsidRDefault="00EC74B3">
      <w:pPr>
        <w:pStyle w:val="BodyText2"/>
        <w:spacing w:line="360" w:lineRule="auto"/>
        <w:ind w:left="1440"/>
        <w:jc w:val="center"/>
        <w:rPr>
          <w:rFonts w:ascii="Times New Roman" w:hAnsi="Times New Roman" w:cs="Times New Roman"/>
          <w:u w:val="single"/>
        </w:rPr>
      </w:pPr>
      <w:r>
        <w:br w:type="page"/>
      </w:r>
      <w:r>
        <w:rPr>
          <w:rFonts w:ascii="Times New Roman" w:hAnsi="Times New Roman" w:cs="Times New Roman"/>
          <w:u w:val="single"/>
        </w:rPr>
        <w:lastRenderedPageBreak/>
        <w:t>CHAPTER VI</w:t>
      </w:r>
    </w:p>
    <w:p w:rsidR="00EC74B3" w:rsidRDefault="00EC74B3">
      <w:pPr>
        <w:autoSpaceDE w:val="0"/>
        <w:autoSpaceDN w:val="0"/>
        <w:adjustRightInd w:val="0"/>
        <w:spacing w:line="360" w:lineRule="auto"/>
        <w:jc w:val="center"/>
        <w:rPr>
          <w:b/>
          <w:bCs/>
          <w:szCs w:val="28"/>
        </w:rPr>
      </w:pPr>
      <w:r>
        <w:rPr>
          <w:b/>
          <w:bCs/>
          <w:szCs w:val="28"/>
        </w:rPr>
        <w:t>RECOMMENDED CHANGES IN LAW, RULES AND ADMINISTRATIVE SETUP</w:t>
      </w:r>
    </w:p>
    <w:p w:rsidR="00EC74B3" w:rsidRDefault="00EC74B3">
      <w:pPr>
        <w:pStyle w:val="BodyText3"/>
        <w:spacing w:line="360" w:lineRule="auto"/>
        <w:ind w:firstLine="720"/>
        <w:rPr>
          <w:rFonts w:ascii="Times New Roman" w:hAnsi="Times New Roman" w:cs="Times New Roman"/>
          <w:lang w:val="en-GB"/>
        </w:rPr>
      </w:pPr>
      <w:r>
        <w:rPr>
          <w:rFonts w:ascii="Times New Roman" w:hAnsi="Times New Roman" w:cs="Times New Roman"/>
          <w:lang w:val="en-GB"/>
        </w:rPr>
        <w:t xml:space="preserve">After having considered various issues concerning transactions with associated enterprises, the members of the Expert Group are of the view that the proposed legislation on the subject should be incorporated in a separate chapter in the Income Tax Act, 1961 instead of just amending section 92 of the Act. The said chapter will be a code in itself in respect of taxation of cross-border transactions between associated enterprises. </w:t>
      </w:r>
    </w:p>
    <w:p w:rsidR="00EC74B3" w:rsidRDefault="00EC74B3">
      <w:pPr>
        <w:pStyle w:val="BodyText3"/>
        <w:spacing w:line="360" w:lineRule="auto"/>
        <w:ind w:firstLine="720"/>
        <w:rPr>
          <w:rFonts w:ascii="Times New Roman" w:hAnsi="Times New Roman" w:cs="Times New Roman"/>
          <w:lang w:val="en-GB"/>
        </w:rPr>
      </w:pPr>
      <w:r>
        <w:rPr>
          <w:rFonts w:ascii="Times New Roman" w:hAnsi="Times New Roman" w:cs="Times New Roman"/>
          <w:lang w:val="en-GB"/>
        </w:rPr>
        <w:t xml:space="preserve">The members also think that the effect to the entire recommendations may be given in two parts, viz., substantive law and rules. This would require codification of the new provisions as well as amendment of the IT Rules. Again, a clarificatory circular would have to be issued for explaining the provisions and prescribing guidelines for implementing the proposed regulation in this regard. It may be pertinent to mention here that in suggesting legislative changes and framework we have gone on the experience of developing countries like China and South Korea where these provisions have been recently enacted. However, the situation peculiar to India have been kept in mind and specific changes have been recommended. </w:t>
      </w:r>
    </w:p>
    <w:p w:rsidR="00EC74B3" w:rsidRDefault="00EC74B3">
      <w:pPr>
        <w:pStyle w:val="BodyText3"/>
        <w:spacing w:line="360" w:lineRule="auto"/>
        <w:rPr>
          <w:rFonts w:ascii="Times New Roman" w:hAnsi="Times New Roman" w:cs="Times New Roman"/>
          <w:b/>
          <w:bCs/>
          <w:u w:val="single"/>
          <w:lang w:val="en-GB"/>
        </w:rPr>
      </w:pPr>
      <w:r>
        <w:rPr>
          <w:rFonts w:ascii="Times New Roman" w:hAnsi="Times New Roman" w:cs="Times New Roman"/>
          <w:lang w:val="en-GB"/>
        </w:rPr>
        <w:t xml:space="preserve"> </w:t>
      </w:r>
      <w:r>
        <w:rPr>
          <w:rFonts w:ascii="Times New Roman" w:hAnsi="Times New Roman" w:cs="Times New Roman"/>
          <w:b/>
          <w:bCs/>
          <w:lang w:val="en-GB"/>
        </w:rPr>
        <w:t xml:space="preserve"> (A) </w:t>
      </w:r>
      <w:r>
        <w:rPr>
          <w:rFonts w:ascii="Times New Roman" w:hAnsi="Times New Roman" w:cs="Times New Roman"/>
          <w:b/>
          <w:bCs/>
          <w:u w:val="single"/>
          <w:lang w:val="en-GB"/>
        </w:rPr>
        <w:t>Changes recommended in substantive law</w:t>
      </w:r>
    </w:p>
    <w:p w:rsidR="00EC74B3" w:rsidRDefault="00EC74B3">
      <w:pPr>
        <w:pStyle w:val="BodyText3"/>
        <w:spacing w:line="360" w:lineRule="auto"/>
        <w:rPr>
          <w:rFonts w:ascii="Times New Roman" w:hAnsi="Times New Roman" w:cs="Times New Roman"/>
          <w:b/>
          <w:bCs/>
        </w:rPr>
      </w:pPr>
      <w:r>
        <w:rPr>
          <w:rFonts w:ascii="Times New Roman" w:hAnsi="Times New Roman" w:cs="Times New Roman"/>
          <w:b/>
          <w:bCs/>
        </w:rPr>
        <w:t xml:space="preserve"> (I)</w:t>
      </w:r>
      <w:r>
        <w:rPr>
          <w:rFonts w:ascii="Times New Roman" w:hAnsi="Times New Roman" w:cs="Times New Roman"/>
        </w:rPr>
        <w:t xml:space="preserve"> </w:t>
      </w:r>
      <w:r>
        <w:rPr>
          <w:rFonts w:ascii="Times New Roman" w:hAnsi="Times New Roman" w:cs="Times New Roman"/>
          <w:b/>
          <w:bCs/>
        </w:rPr>
        <w:t>Definitions</w:t>
      </w:r>
    </w:p>
    <w:p w:rsidR="00EC74B3" w:rsidRDefault="00EC74B3" w:rsidP="005077F7">
      <w:pPr>
        <w:numPr>
          <w:ilvl w:val="0"/>
          <w:numId w:val="1"/>
        </w:numPr>
        <w:autoSpaceDE w:val="0"/>
        <w:autoSpaceDN w:val="0"/>
        <w:adjustRightInd w:val="0"/>
        <w:spacing w:line="360" w:lineRule="auto"/>
        <w:jc w:val="both"/>
      </w:pPr>
      <w:r>
        <w:rPr>
          <w:b/>
          <w:bCs/>
        </w:rPr>
        <w:t>International Transaction:</w:t>
      </w:r>
    </w:p>
    <w:p w:rsidR="00EC74B3" w:rsidRDefault="00EC74B3">
      <w:pPr>
        <w:autoSpaceDE w:val="0"/>
        <w:autoSpaceDN w:val="0"/>
        <w:adjustRightInd w:val="0"/>
        <w:spacing w:line="360" w:lineRule="auto"/>
        <w:ind w:left="720"/>
        <w:jc w:val="both"/>
      </w:pPr>
      <w:r>
        <w:t xml:space="preserve">The term ‘international transaction’ means a transaction between two persons either or both of whom are non-resident have entered into any transaction in purchasing, selling or leasing tangible or intangible assets, providing services, lending or borrowing money or any other transaction related to profits, income, loss or assets of the persons.  </w:t>
      </w:r>
    </w:p>
    <w:p w:rsidR="00EC74B3" w:rsidRDefault="00EC74B3">
      <w:pPr>
        <w:autoSpaceDE w:val="0"/>
        <w:autoSpaceDN w:val="0"/>
        <w:adjustRightInd w:val="0"/>
        <w:spacing w:line="360" w:lineRule="auto"/>
        <w:ind w:left="720"/>
        <w:jc w:val="both"/>
      </w:pPr>
      <w:proofErr w:type="gramStart"/>
      <w:r>
        <w:t>Provided that any transaction between two residents in India will not be treated as International transaction.</w:t>
      </w:r>
      <w:proofErr w:type="gramEnd"/>
    </w:p>
    <w:p w:rsidR="00EC74B3" w:rsidRDefault="00EC74B3" w:rsidP="005077F7">
      <w:pPr>
        <w:numPr>
          <w:ilvl w:val="0"/>
          <w:numId w:val="1"/>
        </w:numPr>
        <w:autoSpaceDE w:val="0"/>
        <w:autoSpaceDN w:val="0"/>
        <w:adjustRightInd w:val="0"/>
        <w:spacing w:line="360" w:lineRule="auto"/>
        <w:jc w:val="both"/>
      </w:pPr>
      <w:r>
        <w:rPr>
          <w:b/>
          <w:bCs/>
        </w:rPr>
        <w:t>Transaction</w:t>
      </w:r>
      <w:r>
        <w:t>:</w:t>
      </w:r>
    </w:p>
    <w:p w:rsidR="00EC74B3" w:rsidRDefault="00EC74B3">
      <w:pPr>
        <w:autoSpaceDE w:val="0"/>
        <w:autoSpaceDN w:val="0"/>
        <w:adjustRightInd w:val="0"/>
        <w:spacing w:line="360" w:lineRule="auto"/>
        <w:ind w:left="720"/>
        <w:jc w:val="both"/>
      </w:pPr>
      <w:r>
        <w:t>The term ‘transaction’ includes arrangements, understandings and mutual practices, whether or not they are, or are intended to be, legally enforceable.</w:t>
      </w:r>
    </w:p>
    <w:p w:rsidR="00EC74B3" w:rsidRDefault="00EC74B3" w:rsidP="005077F7">
      <w:pPr>
        <w:numPr>
          <w:ilvl w:val="0"/>
          <w:numId w:val="1"/>
        </w:numPr>
        <w:autoSpaceDE w:val="0"/>
        <w:autoSpaceDN w:val="0"/>
        <w:adjustRightInd w:val="0"/>
        <w:spacing w:line="360" w:lineRule="auto"/>
        <w:jc w:val="both"/>
      </w:pPr>
      <w:r>
        <w:rPr>
          <w:b/>
          <w:bCs/>
        </w:rPr>
        <w:t xml:space="preserve">The Arm’s Length Price </w:t>
      </w:r>
      <w:r>
        <w:rPr>
          <w:b/>
          <w:bCs/>
        </w:rPr>
        <w:tab/>
      </w:r>
      <w:r>
        <w:rPr>
          <w:b/>
          <w:bCs/>
        </w:rPr>
        <w:tab/>
      </w:r>
      <w:r>
        <w:rPr>
          <w:b/>
          <w:bCs/>
        </w:rPr>
        <w:tab/>
      </w:r>
      <w:r>
        <w:rPr>
          <w:b/>
          <w:bCs/>
        </w:rPr>
        <w:tab/>
      </w:r>
      <w:r>
        <w:rPr>
          <w:b/>
          <w:bCs/>
        </w:rPr>
        <w:tab/>
      </w:r>
      <w:r>
        <w:rPr>
          <w:b/>
          <w:bCs/>
        </w:rPr>
        <w:tab/>
      </w:r>
      <w:r>
        <w:rPr>
          <w:b/>
          <w:bCs/>
        </w:rPr>
        <w:tab/>
      </w:r>
      <w:r>
        <w:rPr>
          <w:b/>
          <w:bCs/>
        </w:rPr>
        <w:tab/>
      </w:r>
      <w:r>
        <w:t xml:space="preserve">The term ‘arm’s length price’ means a price that is applied or determined to be </w:t>
      </w:r>
      <w:r>
        <w:lastRenderedPageBreak/>
        <w:t>applied in a transaction with a person other than an associated enterprise in uncontrolled conditions.</w:t>
      </w:r>
    </w:p>
    <w:p w:rsidR="00EC74B3" w:rsidRDefault="00EC74B3" w:rsidP="005077F7">
      <w:pPr>
        <w:numPr>
          <w:ilvl w:val="0"/>
          <w:numId w:val="1"/>
        </w:numPr>
        <w:autoSpaceDE w:val="0"/>
        <w:autoSpaceDN w:val="0"/>
        <w:adjustRightInd w:val="0"/>
        <w:spacing w:line="360" w:lineRule="auto"/>
        <w:jc w:val="both"/>
        <w:rPr>
          <w:b/>
          <w:bCs/>
        </w:rPr>
      </w:pPr>
      <w:r>
        <w:rPr>
          <w:b/>
          <w:bCs/>
        </w:rPr>
        <w:t>Associated Enterprise</w:t>
      </w:r>
    </w:p>
    <w:p w:rsidR="00EC74B3" w:rsidRDefault="00EC74B3">
      <w:pPr>
        <w:autoSpaceDE w:val="0"/>
        <w:autoSpaceDN w:val="0"/>
        <w:adjustRightInd w:val="0"/>
        <w:spacing w:line="360" w:lineRule="auto"/>
        <w:ind w:left="720"/>
        <w:jc w:val="both"/>
      </w:pPr>
      <w:r>
        <w:rPr>
          <w:b/>
          <w:bCs/>
        </w:rPr>
        <w:t>(i)</w:t>
      </w:r>
      <w:r>
        <w:t xml:space="preserve"> Associated enterprise means an enterprise that has any of the following relationship with another enterprise, whether resident or non-resident:</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Direct or indirect ownership of, or control over, through one or more intermediaries, holding company, subsidiaries company or otherwise, or</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Direct or indirect ownership or control of both enterprises by a third person; or</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Persons owning, directly or indirectly not less than 25% interest in the voting power of the enterprise</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In case of an individual</w:t>
      </w:r>
      <w:proofErr w:type="gramStart"/>
      <w:r>
        <w:rPr>
          <w:rFonts w:ascii="Times New Roman" w:hAnsi="Times New Roman" w:cs="Times New Roman"/>
          <w:lang w:val="en-GB"/>
        </w:rPr>
        <w:t>,  any</w:t>
      </w:r>
      <w:proofErr w:type="gramEnd"/>
      <w:r>
        <w:rPr>
          <w:rFonts w:ascii="Times New Roman" w:hAnsi="Times New Roman" w:cs="Times New Roman"/>
          <w:lang w:val="en-GB"/>
        </w:rPr>
        <w:t xml:space="preserve"> relatives of the individual.</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In case of HUF, any member of the HUF or relative of such member.</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In case of firm, AOP or BOI, persons owning not less than 10% interest in such firm, AOP or BOI.</w:t>
      </w:r>
    </w:p>
    <w:p w:rsidR="00EC74B3" w:rsidRDefault="00EC74B3" w:rsidP="005077F7">
      <w:pPr>
        <w:pStyle w:val="BodyTextIndent2"/>
        <w:numPr>
          <w:ilvl w:val="1"/>
          <w:numId w:val="1"/>
        </w:numPr>
        <w:spacing w:line="360" w:lineRule="auto"/>
        <w:jc w:val="both"/>
        <w:rPr>
          <w:rFonts w:ascii="Times New Roman" w:hAnsi="Times New Roman" w:cs="Times New Roman"/>
          <w:lang w:val="en-GB"/>
        </w:rPr>
      </w:pPr>
      <w:r>
        <w:rPr>
          <w:rFonts w:ascii="Times New Roman" w:hAnsi="Times New Roman" w:cs="Times New Roman"/>
          <w:lang w:val="en-GB"/>
        </w:rPr>
        <w:t>Any other relationship arising from mutual interest as may be prescribed by the Central Government in this behalf.</w:t>
      </w:r>
    </w:p>
    <w:p w:rsidR="00EC74B3" w:rsidRDefault="00EC74B3">
      <w:pPr>
        <w:pStyle w:val="BodyTextIndent2"/>
        <w:spacing w:line="360" w:lineRule="auto"/>
        <w:ind w:firstLine="0"/>
        <w:jc w:val="both"/>
        <w:rPr>
          <w:rFonts w:ascii="Times New Roman" w:hAnsi="Times New Roman" w:cs="Times New Roman"/>
          <w:lang w:val="en-GB"/>
        </w:rPr>
      </w:pPr>
      <w:r>
        <w:rPr>
          <w:rFonts w:ascii="Times New Roman" w:hAnsi="Times New Roman" w:cs="Times New Roman"/>
          <w:u w:val="single"/>
          <w:lang w:val="en-GB"/>
        </w:rPr>
        <w:t>Explanation</w:t>
      </w:r>
      <w:r>
        <w:rPr>
          <w:rFonts w:ascii="Times New Roman" w:hAnsi="Times New Roman" w:cs="Times New Roman"/>
          <w:lang w:val="en-GB"/>
        </w:rPr>
        <w:t>: (i) The term ‘Enterprise’, ‘Entity’, ‘Person’ and ‘Party’, wherever used in the chapter, shall have the same meaning as of “Person” defined in Section 2(31) of the Act.</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eastAsia="Arial"/>
          <w:bCs/>
          <w:color w:val="000000"/>
        </w:rPr>
      </w:pPr>
      <w:r>
        <w:rPr>
          <w:rFonts w:eastAsia="Arial"/>
          <w:b/>
          <w:color w:val="000000"/>
        </w:rPr>
        <w:t xml:space="preserve">(ii) </w:t>
      </w:r>
      <w:r>
        <w:rPr>
          <w:rFonts w:eastAsia="Arial"/>
          <w:bCs/>
          <w:color w:val="000000"/>
        </w:rPr>
        <w:t>Two enterprises shall be deemed to be "Associated Enterprise" if:</w:t>
      </w:r>
    </w:p>
    <w:p w:rsidR="00EC74B3" w:rsidRDefault="00EC7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rFonts w:eastAsia="Arial"/>
          <w:color w:val="000000"/>
        </w:rPr>
      </w:pPr>
      <w:r>
        <w:rPr>
          <w:rFonts w:eastAsia="Arial"/>
          <w:color w:val="000000"/>
        </w:rPr>
        <w:t>a)</w:t>
      </w:r>
      <w:r>
        <w:rPr>
          <w:rFonts w:eastAsia="Arial"/>
          <w:color w:val="000000"/>
        </w:rPr>
        <w:tab/>
        <w:t>The one holds not less than 25 per cent of the total share capital of the other enterprise directly or indirectly;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b)</w:t>
      </w:r>
      <w:r>
        <w:rPr>
          <w:rFonts w:eastAsia="Arial"/>
          <w:color w:val="000000"/>
        </w:rPr>
        <w:tab/>
        <w:t>A third person holds not less than 25 per cent of the total share capital of both enterprises directly or indirectly;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c)</w:t>
      </w:r>
      <w:r>
        <w:rPr>
          <w:rFonts w:eastAsia="Arial"/>
          <w:color w:val="000000"/>
        </w:rPr>
        <w:tab/>
        <w:t>A loan granted by one enterprise to the other constitutes 50 per cent of the total assets of that other enterprise; or one enterprise guarantees 10 per cent of the total debts of the other enterprise;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d)</w:t>
      </w:r>
      <w:r>
        <w:rPr>
          <w:rFonts w:eastAsia="Arial"/>
          <w:color w:val="000000"/>
        </w:rPr>
        <w:tab/>
        <w:t>50 per cent or more of the board members or directors of one enterprise are appointed by the other enterprise, or one executive board member is appointed by the other enterprise;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e)</w:t>
      </w:r>
      <w:r>
        <w:rPr>
          <w:rFonts w:eastAsia="Arial"/>
          <w:color w:val="000000"/>
        </w:rPr>
        <w:tab/>
      </w:r>
      <w:proofErr w:type="gramStart"/>
      <w:r>
        <w:rPr>
          <w:rFonts w:eastAsia="Arial"/>
          <w:color w:val="000000"/>
        </w:rPr>
        <w:t>the</w:t>
      </w:r>
      <w:proofErr w:type="gramEnd"/>
      <w:r>
        <w:rPr>
          <w:rFonts w:eastAsia="Arial"/>
          <w:color w:val="000000"/>
        </w:rPr>
        <w:t xml:space="preserve"> production of one enterprise is only possible if the intellectual property of the other enterprise is used;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lastRenderedPageBreak/>
        <w:t>f)</w:t>
      </w:r>
      <w:r>
        <w:rPr>
          <w:rFonts w:eastAsia="Arial"/>
          <w:color w:val="000000"/>
        </w:rPr>
        <w:tab/>
        <w:t>The supply of raw materials and spare parts necessary for production of one enterprise is controlled by the other enterprise (including prices and trade conditions);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rFonts w:eastAsia="Arial"/>
          <w:color w:val="000000"/>
        </w:rPr>
      </w:pPr>
      <w:r>
        <w:rPr>
          <w:rFonts w:eastAsia="Arial"/>
          <w:color w:val="000000"/>
        </w:rPr>
        <w:t>g)</w:t>
      </w:r>
      <w:r>
        <w:rPr>
          <w:rFonts w:eastAsia="Arial"/>
          <w:color w:val="000000"/>
        </w:rPr>
        <w:tab/>
        <w:t>The sale of products of one enterprise (including prices and trade conditions) is controlled by the other enterprise; or</w:t>
      </w:r>
    </w:p>
    <w:p w:rsidR="00EC74B3" w:rsidRDefault="00EC7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pPr>
      <w:r>
        <w:rPr>
          <w:rFonts w:eastAsia="Arial"/>
          <w:color w:val="000000"/>
        </w:rPr>
        <w:t>h)</w:t>
      </w:r>
      <w:r>
        <w:rPr>
          <w:rFonts w:eastAsia="Arial"/>
          <w:color w:val="000000"/>
        </w:rPr>
        <w:tab/>
        <w:t xml:space="preserve">There is indirect but actual control over production and trade based on other related </w:t>
      </w:r>
      <w:r>
        <w:rPr>
          <w:rFonts w:eastAsia="Arial"/>
        </w:rPr>
        <w:t>interests (e.g. family ties).</w:t>
      </w:r>
    </w:p>
    <w:p w:rsidR="00EC74B3" w:rsidRDefault="00EC74B3">
      <w:pPr>
        <w:autoSpaceDE w:val="0"/>
        <w:autoSpaceDN w:val="0"/>
        <w:adjustRightInd w:val="0"/>
        <w:spacing w:line="360" w:lineRule="auto"/>
        <w:jc w:val="both"/>
        <w:rPr>
          <w:b/>
          <w:bCs/>
        </w:rPr>
      </w:pPr>
      <w:r>
        <w:rPr>
          <w:b/>
          <w:bCs/>
        </w:rPr>
        <w:t>II.</w:t>
      </w:r>
      <w:r>
        <w:rPr>
          <w:b/>
          <w:bCs/>
        </w:rPr>
        <w:tab/>
        <w:t>Adjustment of International Transaction with Associated Enterprise</w:t>
      </w:r>
    </w:p>
    <w:p w:rsidR="00EC74B3" w:rsidRDefault="00EC74B3">
      <w:pPr>
        <w:tabs>
          <w:tab w:val="left" w:pos="0"/>
          <w:tab w:val="left" w:pos="720"/>
          <w:tab w:val="left" w:pos="1728"/>
        </w:tabs>
        <w:autoSpaceDE w:val="0"/>
        <w:autoSpaceDN w:val="0"/>
        <w:adjustRightInd w:val="0"/>
        <w:spacing w:line="360" w:lineRule="auto"/>
        <w:jc w:val="both"/>
      </w:pPr>
      <w:r>
        <w:t>(i)</w:t>
      </w:r>
      <w:r>
        <w:tab/>
        <w:t xml:space="preserve">In an international transaction between two or more associated </w:t>
      </w:r>
      <w:proofErr w:type="gramStart"/>
      <w:r>
        <w:t>enterprises  prices</w:t>
      </w:r>
      <w:proofErr w:type="gramEnd"/>
      <w:r>
        <w:t xml:space="preserve"> and expenses shall be charged &amp; paid as in transactions conducted at arm's length. Where the prices and expenses charged or paid are not at arm's length, the Assessing Officer shall have the power to make necessary adjustment based on the arm’s length price and determine the taxable income of such person. </w:t>
      </w:r>
    </w:p>
    <w:p w:rsidR="00EC74B3" w:rsidRDefault="00EC74B3">
      <w:pPr>
        <w:spacing w:line="360" w:lineRule="auto"/>
      </w:pPr>
      <w:r>
        <w:t>(ii)</w:t>
      </w:r>
      <w:r>
        <w:tab/>
        <w:t>An arm’s length price shall be calculated by the most reasonable method out of the methods prescribed by the Board.</w:t>
      </w:r>
    </w:p>
    <w:p w:rsidR="00EC74B3" w:rsidRDefault="00EC74B3">
      <w:pPr>
        <w:pStyle w:val="Heading2"/>
        <w:tabs>
          <w:tab w:val="left" w:pos="720"/>
        </w:tabs>
        <w:spacing w:line="360" w:lineRule="auto"/>
        <w:rPr>
          <w:rFonts w:ascii="Times New Roman" w:hAnsi="Times New Roman" w:cs="Times New Roman"/>
          <w:b w:val="0"/>
          <w:bCs w:val="0"/>
          <w:lang w:val="en-GB"/>
        </w:rPr>
      </w:pPr>
      <w:r>
        <w:rPr>
          <w:b w:val="0"/>
          <w:bCs w:val="0"/>
        </w:rPr>
        <w:t>(iii)</w:t>
      </w:r>
      <w:r>
        <w:tab/>
      </w:r>
      <w:r>
        <w:rPr>
          <w:rFonts w:ascii="Times New Roman" w:hAnsi="Times New Roman" w:cs="Times New Roman"/>
          <w:b w:val="0"/>
          <w:bCs w:val="0"/>
          <w:lang w:val="en-GB"/>
        </w:rPr>
        <w:t>Where two or more associated enterprises enter into an arrangement for allocation of cost on a principle other than arm’s length, the Assessing Officer shall have the power to distribute, apportion or allocate income, expenses or allowances between such enterprises if in his opinion it is necessary to do so to determine the income of such enterprises</w:t>
      </w:r>
    </w:p>
    <w:p w:rsidR="00EC74B3" w:rsidRDefault="00EC74B3">
      <w:pPr>
        <w:pStyle w:val="Heading1"/>
        <w:tabs>
          <w:tab w:val="left" w:pos="0"/>
          <w:tab w:val="left" w:pos="720"/>
          <w:tab w:val="left" w:pos="1728"/>
        </w:tabs>
        <w:spacing w:line="360" w:lineRule="auto"/>
        <w:jc w:val="both"/>
        <w:rPr>
          <w:rFonts w:ascii="Times New Roman" w:hAnsi="Times New Roman" w:cs="Times New Roman"/>
          <w:lang w:val="en-GB"/>
        </w:rPr>
      </w:pPr>
      <w:r>
        <w:rPr>
          <w:rFonts w:ascii="Times New Roman" w:hAnsi="Times New Roman" w:cs="Times New Roman"/>
          <w:lang w:val="en-GB"/>
        </w:rPr>
        <w:t>III.</w:t>
      </w:r>
      <w:r>
        <w:rPr>
          <w:rFonts w:ascii="Times New Roman" w:hAnsi="Times New Roman" w:cs="Times New Roman"/>
          <w:lang w:val="en-GB"/>
        </w:rPr>
        <w:tab/>
        <w:t>Transactions Involving Third Parties</w:t>
      </w:r>
    </w:p>
    <w:p w:rsidR="00EC74B3" w:rsidRDefault="00EC74B3">
      <w:pPr>
        <w:tabs>
          <w:tab w:val="left" w:pos="0"/>
          <w:tab w:val="left" w:pos="720"/>
          <w:tab w:val="left" w:pos="1728"/>
        </w:tabs>
        <w:autoSpaceDE w:val="0"/>
        <w:autoSpaceDN w:val="0"/>
        <w:adjustRightInd w:val="0"/>
        <w:spacing w:line="360" w:lineRule="auto"/>
        <w:jc w:val="both"/>
      </w:pPr>
      <w:r>
        <w:t>Even in a case where international transaction is made between an assessee and a third party other than an associated enterprise, provision of this chapter shall apply as if the international transaction is made with the associated enterprise, if one of the following conditions are satisfied:</w:t>
      </w:r>
    </w:p>
    <w:p w:rsidR="00EC74B3" w:rsidRDefault="00EC74B3" w:rsidP="005077F7">
      <w:pPr>
        <w:pStyle w:val="BodyTextIndent3"/>
        <w:numPr>
          <w:ilvl w:val="0"/>
          <w:numId w:val="2"/>
        </w:numPr>
        <w:tabs>
          <w:tab w:val="clear" w:pos="720"/>
          <w:tab w:val="clear" w:pos="1728"/>
        </w:tabs>
        <w:spacing w:line="360" w:lineRule="auto"/>
        <w:jc w:val="both"/>
        <w:rPr>
          <w:rFonts w:ascii="Times New Roman" w:hAnsi="Times New Roman" w:cs="Times New Roman"/>
          <w:lang w:val="en-GB"/>
        </w:rPr>
      </w:pPr>
      <w:r>
        <w:rPr>
          <w:rFonts w:ascii="Times New Roman" w:hAnsi="Times New Roman" w:cs="Times New Roman"/>
          <w:lang w:val="en-GB"/>
        </w:rPr>
        <w:t>There is a prior agreement on the relevant transaction between the third party and the associated enterprise; or</w:t>
      </w:r>
    </w:p>
    <w:p w:rsidR="00EC74B3" w:rsidRDefault="00EC74B3" w:rsidP="005077F7">
      <w:pPr>
        <w:pStyle w:val="BodyTextIndent2"/>
        <w:numPr>
          <w:ilvl w:val="1"/>
          <w:numId w:val="2"/>
        </w:numPr>
        <w:tabs>
          <w:tab w:val="num" w:pos="1080"/>
        </w:tabs>
        <w:spacing w:line="360" w:lineRule="auto"/>
        <w:jc w:val="both"/>
        <w:rPr>
          <w:rFonts w:ascii="Times New Roman" w:hAnsi="Times New Roman" w:cs="Times New Roman"/>
          <w:lang w:val="en-GB"/>
        </w:rPr>
      </w:pPr>
      <w:r>
        <w:rPr>
          <w:rFonts w:ascii="Times New Roman" w:hAnsi="Times New Roman" w:cs="Times New Roman"/>
          <w:lang w:val="en-GB"/>
        </w:rPr>
        <w:t>The terms of the relevant transaction are determined in substance, between the third party and the associated enterprise.</w:t>
      </w:r>
    </w:p>
    <w:p w:rsidR="00EC74B3" w:rsidRDefault="00EC74B3">
      <w:pPr>
        <w:pStyle w:val="Heading1"/>
        <w:tabs>
          <w:tab w:val="left" w:pos="1260"/>
          <w:tab w:val="left" w:pos="1728"/>
        </w:tabs>
        <w:spacing w:line="360" w:lineRule="auto"/>
        <w:jc w:val="both"/>
        <w:rPr>
          <w:rFonts w:ascii="Times New Roman" w:hAnsi="Times New Roman" w:cs="Times New Roman"/>
          <w:lang w:val="en-GB"/>
        </w:rPr>
      </w:pPr>
      <w:r>
        <w:rPr>
          <w:rFonts w:ascii="Times New Roman" w:hAnsi="Times New Roman" w:cs="Times New Roman"/>
          <w:lang w:val="en-GB"/>
        </w:rPr>
        <w:t xml:space="preserve">IV.    Deemed Dividend or profit due to Adjustment </w:t>
      </w:r>
    </w:p>
    <w:p w:rsidR="00EC74B3" w:rsidRDefault="00EC74B3">
      <w:pPr>
        <w:tabs>
          <w:tab w:val="left" w:pos="1260"/>
          <w:tab w:val="left" w:pos="1728"/>
        </w:tabs>
        <w:autoSpaceDE w:val="0"/>
        <w:autoSpaceDN w:val="0"/>
        <w:adjustRightInd w:val="0"/>
        <w:spacing w:line="360" w:lineRule="auto"/>
        <w:jc w:val="both"/>
      </w:pPr>
      <w:r>
        <w:t>When any adjustment is made in the income of an assessee in accordance with the provisions of this Chapter, that amount shall be deemed as dividend or profit paid or transferred by the assessee to the associated enterprise engaged in the international transaction with it.</w:t>
      </w:r>
    </w:p>
    <w:p w:rsidR="00EC74B3" w:rsidRDefault="00EC74B3">
      <w:pPr>
        <w:pStyle w:val="Heading1"/>
        <w:tabs>
          <w:tab w:val="left" w:pos="0"/>
          <w:tab w:val="left" w:pos="720"/>
          <w:tab w:val="left" w:pos="1728"/>
        </w:tabs>
        <w:spacing w:line="360" w:lineRule="auto"/>
        <w:jc w:val="both"/>
        <w:rPr>
          <w:rFonts w:ascii="Times New Roman" w:hAnsi="Times New Roman" w:cs="Times New Roman"/>
          <w:lang w:val="en-GB"/>
        </w:rPr>
      </w:pPr>
      <w:r>
        <w:rPr>
          <w:rFonts w:ascii="Times New Roman" w:hAnsi="Times New Roman" w:cs="Times New Roman"/>
          <w:lang w:val="en-GB"/>
        </w:rPr>
        <w:lastRenderedPageBreak/>
        <w:t>V.  Obligation of Documentation in International Transaction</w:t>
      </w:r>
    </w:p>
    <w:p w:rsidR="00EC74B3" w:rsidRDefault="00EC74B3" w:rsidP="005077F7">
      <w:pPr>
        <w:numPr>
          <w:ilvl w:val="0"/>
          <w:numId w:val="3"/>
        </w:numPr>
        <w:tabs>
          <w:tab w:val="left" w:pos="0"/>
          <w:tab w:val="left" w:pos="1728"/>
        </w:tabs>
        <w:autoSpaceDE w:val="0"/>
        <w:autoSpaceDN w:val="0"/>
        <w:adjustRightInd w:val="0"/>
        <w:spacing w:line="360" w:lineRule="auto"/>
        <w:jc w:val="both"/>
      </w:pPr>
      <w:r>
        <w:t xml:space="preserve">An assessee engaged in international transaction with an associated enterprise shall maintain the information &amp; documents as prescribed by the Board.  The same shall be produced before an Income tax Authority </w:t>
      </w:r>
      <w:proofErr w:type="gramStart"/>
      <w:r>
        <w:t>as  and</w:t>
      </w:r>
      <w:proofErr w:type="gramEnd"/>
      <w:r>
        <w:t xml:space="preserve"> when required by him for the application of the provision of this chapter.</w:t>
      </w:r>
    </w:p>
    <w:p w:rsidR="00EC74B3" w:rsidRDefault="00EC74B3">
      <w:pPr>
        <w:tabs>
          <w:tab w:val="left" w:pos="0"/>
          <w:tab w:val="left" w:pos="1728"/>
        </w:tabs>
        <w:autoSpaceDE w:val="0"/>
        <w:autoSpaceDN w:val="0"/>
        <w:adjustRightInd w:val="0"/>
        <w:spacing w:line="360" w:lineRule="auto"/>
        <w:ind w:left="360"/>
        <w:jc w:val="both"/>
      </w:pPr>
      <w:r>
        <w:rPr>
          <w:u w:val="single"/>
        </w:rPr>
        <w:t>Explanation</w:t>
      </w:r>
      <w:r>
        <w:t xml:space="preserve">:  The provisions of this sub-section shall apply where the total value of international transaction with one or more associated enterprises exceeds the following limits – </w:t>
      </w:r>
    </w:p>
    <w:p w:rsidR="00EC74B3" w:rsidRDefault="00EC74B3" w:rsidP="005077F7">
      <w:pPr>
        <w:numPr>
          <w:ilvl w:val="1"/>
          <w:numId w:val="3"/>
        </w:numPr>
        <w:tabs>
          <w:tab w:val="left" w:pos="0"/>
          <w:tab w:val="left" w:pos="900"/>
        </w:tabs>
        <w:autoSpaceDE w:val="0"/>
        <w:autoSpaceDN w:val="0"/>
        <w:adjustRightInd w:val="0"/>
        <w:spacing w:line="360" w:lineRule="auto"/>
        <w:jc w:val="both"/>
      </w:pPr>
      <w:r>
        <w:t xml:space="preserve">Rs. One crore in case of purchase &amp; sale of goods including goods of a capital nature.  </w:t>
      </w:r>
    </w:p>
    <w:p w:rsidR="00EC74B3" w:rsidRDefault="00EC74B3" w:rsidP="005077F7">
      <w:pPr>
        <w:numPr>
          <w:ilvl w:val="1"/>
          <w:numId w:val="3"/>
        </w:numPr>
        <w:tabs>
          <w:tab w:val="left" w:pos="0"/>
          <w:tab w:val="left" w:pos="900"/>
        </w:tabs>
        <w:autoSpaceDE w:val="0"/>
        <w:autoSpaceDN w:val="0"/>
        <w:adjustRightInd w:val="0"/>
        <w:spacing w:line="360" w:lineRule="auto"/>
        <w:jc w:val="both"/>
      </w:pPr>
      <w:r>
        <w:t>Rs. One Crore in case of receipt or payment of any services or intangible.</w:t>
      </w:r>
    </w:p>
    <w:p w:rsidR="00EC74B3" w:rsidRDefault="00EC74B3" w:rsidP="005077F7">
      <w:pPr>
        <w:numPr>
          <w:ilvl w:val="1"/>
          <w:numId w:val="3"/>
        </w:numPr>
        <w:tabs>
          <w:tab w:val="left" w:pos="0"/>
          <w:tab w:val="left" w:pos="900"/>
        </w:tabs>
        <w:autoSpaceDE w:val="0"/>
        <w:autoSpaceDN w:val="0"/>
        <w:adjustRightInd w:val="0"/>
        <w:spacing w:line="360" w:lineRule="auto"/>
        <w:jc w:val="both"/>
      </w:pPr>
      <w:r>
        <w:t xml:space="preserve">Rs. One crore in case of any other receipt or payment including loans &amp; advances.  </w:t>
      </w:r>
    </w:p>
    <w:p w:rsidR="00EC74B3" w:rsidRDefault="00EC74B3" w:rsidP="005077F7">
      <w:pPr>
        <w:numPr>
          <w:ilvl w:val="0"/>
          <w:numId w:val="3"/>
        </w:numPr>
        <w:tabs>
          <w:tab w:val="left" w:pos="0"/>
          <w:tab w:val="left" w:pos="1728"/>
        </w:tabs>
        <w:autoSpaceDE w:val="0"/>
        <w:autoSpaceDN w:val="0"/>
        <w:adjustRightInd w:val="0"/>
        <w:spacing w:line="360" w:lineRule="auto"/>
        <w:jc w:val="both"/>
      </w:pPr>
      <w:r>
        <w:t>An assessee required to submit information and documents in accordance with sub-section (1) above shall submit the same within 30 days of receipt of notice. If application for extension of time is submitted before the expiry of the said time, the Income Tax Authority may allow a one-time extension of not more than 30 days.</w:t>
      </w:r>
    </w:p>
    <w:p w:rsidR="00EC74B3" w:rsidRDefault="00EC74B3">
      <w:pPr>
        <w:tabs>
          <w:tab w:val="left" w:pos="0"/>
          <w:tab w:val="left" w:pos="1728"/>
        </w:tabs>
        <w:autoSpaceDE w:val="0"/>
        <w:autoSpaceDN w:val="0"/>
        <w:adjustRightInd w:val="0"/>
        <w:spacing w:line="360" w:lineRule="auto"/>
        <w:jc w:val="both"/>
        <w:rPr>
          <w:b/>
          <w:bCs/>
        </w:rPr>
      </w:pPr>
      <w:r>
        <w:rPr>
          <w:b/>
          <w:bCs/>
        </w:rPr>
        <w:t>VI</w:t>
      </w:r>
      <w:proofErr w:type="gramStart"/>
      <w:r>
        <w:rPr>
          <w:b/>
          <w:bCs/>
        </w:rPr>
        <w:t>.  Furnishing</w:t>
      </w:r>
      <w:proofErr w:type="gramEnd"/>
      <w:r>
        <w:rPr>
          <w:b/>
          <w:bCs/>
        </w:rPr>
        <w:t xml:space="preserve"> of Prescribed Report :   </w:t>
      </w:r>
    </w:p>
    <w:p w:rsidR="00EC74B3" w:rsidRDefault="00EC74B3">
      <w:pPr>
        <w:tabs>
          <w:tab w:val="left" w:pos="0"/>
          <w:tab w:val="left" w:pos="1728"/>
        </w:tabs>
        <w:autoSpaceDE w:val="0"/>
        <w:autoSpaceDN w:val="0"/>
        <w:adjustRightInd w:val="0"/>
        <w:spacing w:line="360" w:lineRule="auto"/>
        <w:jc w:val="both"/>
      </w:pPr>
      <w:r>
        <w:t>Every person engaged in international transaction with an associated enterprise shall, if the total value of such transaction exceeds one crore rupees in any previous year, furnish a report of an accountant in the prescribed form duly signed &amp; verified by such accountant along with the return of income.</w:t>
      </w:r>
    </w:p>
    <w:p w:rsidR="00EC74B3" w:rsidRDefault="00EC74B3">
      <w:pPr>
        <w:tabs>
          <w:tab w:val="left" w:pos="0"/>
          <w:tab w:val="left" w:pos="1728"/>
        </w:tabs>
        <w:autoSpaceDE w:val="0"/>
        <w:autoSpaceDN w:val="0"/>
        <w:adjustRightInd w:val="0"/>
        <w:spacing w:line="360" w:lineRule="auto"/>
        <w:jc w:val="both"/>
        <w:rPr>
          <w:u w:val="single"/>
        </w:rPr>
      </w:pPr>
      <w:r>
        <w:rPr>
          <w:u w:val="single"/>
        </w:rPr>
        <w:t>Explanation:</w:t>
      </w:r>
      <w:r>
        <w:t xml:space="preserve"> For the purposes of this section ‘Accountant’ shall have the same meaning as in the Explanation of section 44AB of the Act.</w:t>
      </w:r>
    </w:p>
    <w:p w:rsidR="00EC74B3" w:rsidRDefault="00EC74B3">
      <w:pPr>
        <w:pStyle w:val="Heading4"/>
        <w:tabs>
          <w:tab w:val="left" w:pos="0"/>
          <w:tab w:val="left" w:pos="1728"/>
        </w:tabs>
        <w:autoSpaceDE w:val="0"/>
        <w:autoSpaceDN w:val="0"/>
        <w:adjustRightInd w:val="0"/>
        <w:rPr>
          <w:bCs/>
          <w:szCs w:val="24"/>
        </w:rPr>
      </w:pPr>
      <w:r>
        <w:rPr>
          <w:bCs/>
          <w:szCs w:val="24"/>
          <w:u w:val="none"/>
        </w:rPr>
        <w:t>VII</w:t>
      </w:r>
      <w:proofErr w:type="gramStart"/>
      <w:r>
        <w:rPr>
          <w:bCs/>
          <w:szCs w:val="24"/>
          <w:u w:val="none"/>
        </w:rPr>
        <w:t>.  Penalty</w:t>
      </w:r>
      <w:proofErr w:type="gramEnd"/>
      <w:r>
        <w:rPr>
          <w:bCs/>
          <w:szCs w:val="24"/>
          <w:u w:val="none"/>
        </w:rPr>
        <w:t xml:space="preserve"> for failure to furnish the prescribed report</w:t>
      </w:r>
    </w:p>
    <w:p w:rsidR="00EC74B3" w:rsidRDefault="00EC74B3">
      <w:pPr>
        <w:pStyle w:val="BodyText3"/>
        <w:tabs>
          <w:tab w:val="left" w:pos="360"/>
        </w:tabs>
        <w:spacing w:line="360" w:lineRule="auto"/>
        <w:rPr>
          <w:rFonts w:ascii="Times New Roman" w:hAnsi="Times New Roman" w:cs="Times New Roman"/>
          <w:szCs w:val="24"/>
          <w:lang w:val="en-GB"/>
        </w:rPr>
      </w:pPr>
      <w:r>
        <w:rPr>
          <w:rFonts w:ascii="Times New Roman" w:hAnsi="Times New Roman" w:cs="Times New Roman"/>
          <w:szCs w:val="24"/>
          <w:lang w:val="en-GB"/>
        </w:rPr>
        <w:tab/>
        <w:t>If any person fails to furnish the prescribed report as required under section  _________, the A.O. may direct that such person shall pay, by way of penalty, a sum which shall not be less than one hundred thousand rupees but which may extend to ten hundred thousand rupees.</w:t>
      </w:r>
    </w:p>
    <w:p w:rsidR="00EC74B3" w:rsidRDefault="00EC74B3">
      <w:pPr>
        <w:tabs>
          <w:tab w:val="left" w:pos="360"/>
        </w:tabs>
        <w:autoSpaceDE w:val="0"/>
        <w:autoSpaceDN w:val="0"/>
        <w:adjustRightInd w:val="0"/>
        <w:spacing w:line="360" w:lineRule="auto"/>
        <w:jc w:val="both"/>
      </w:pPr>
      <w:r>
        <w:rPr>
          <w:b/>
          <w:bCs/>
        </w:rPr>
        <w:t>VII</w:t>
      </w:r>
      <w:proofErr w:type="gramStart"/>
      <w:r>
        <w:rPr>
          <w:b/>
          <w:bCs/>
        </w:rPr>
        <w:t>.  Penalty</w:t>
      </w:r>
      <w:proofErr w:type="gramEnd"/>
      <w:r>
        <w:rPr>
          <w:b/>
          <w:bCs/>
        </w:rPr>
        <w:t xml:space="preserve"> for failure to produce the information &amp; documents</w:t>
      </w:r>
      <w:r>
        <w:t>:</w:t>
      </w:r>
    </w:p>
    <w:p w:rsidR="00EC74B3" w:rsidRDefault="00EC74B3">
      <w:pPr>
        <w:pStyle w:val="BodyText3"/>
        <w:tabs>
          <w:tab w:val="left" w:pos="0"/>
          <w:tab w:val="left" w:pos="1728"/>
        </w:tabs>
        <w:spacing w:line="360" w:lineRule="auto"/>
        <w:rPr>
          <w:rFonts w:ascii="Times New Roman" w:hAnsi="Times New Roman" w:cs="Times New Roman"/>
          <w:szCs w:val="24"/>
          <w:lang w:val="en-GB"/>
        </w:rPr>
      </w:pPr>
      <w:r>
        <w:rPr>
          <w:rFonts w:ascii="Times New Roman" w:hAnsi="Times New Roman" w:cs="Times New Roman"/>
          <w:szCs w:val="24"/>
          <w:lang w:val="en-GB"/>
        </w:rPr>
        <w:t xml:space="preserve">       If any person fails to produce the information &amp; documents as required under section _____, the I.T. Authority may direct that such </w:t>
      </w:r>
      <w:proofErr w:type="gramStart"/>
      <w:r>
        <w:rPr>
          <w:rFonts w:ascii="Times New Roman" w:hAnsi="Times New Roman" w:cs="Times New Roman"/>
          <w:szCs w:val="24"/>
          <w:lang w:val="en-GB"/>
        </w:rPr>
        <w:t>person,</w:t>
      </w:r>
      <w:proofErr w:type="gramEnd"/>
      <w:r>
        <w:rPr>
          <w:rFonts w:ascii="Times New Roman" w:hAnsi="Times New Roman" w:cs="Times New Roman"/>
          <w:szCs w:val="24"/>
          <w:lang w:val="en-GB"/>
        </w:rPr>
        <w:t xml:space="preserve"> shall pay, by way of penalty, a sum equal to one percent of the total value of international transaction with associated enterprises for each such failure.     </w:t>
      </w:r>
    </w:p>
    <w:p w:rsidR="00EC74B3" w:rsidRDefault="00EC74B3">
      <w:pPr>
        <w:pStyle w:val="Heading2"/>
        <w:spacing w:line="360" w:lineRule="auto"/>
        <w:rPr>
          <w:rFonts w:ascii="Times New Roman" w:hAnsi="Times New Roman" w:cs="Times New Roman"/>
          <w:u w:val="single"/>
          <w:lang w:val="en-GB"/>
        </w:rPr>
      </w:pPr>
      <w:r>
        <w:rPr>
          <w:rFonts w:ascii="Times New Roman" w:hAnsi="Times New Roman" w:cs="Times New Roman"/>
          <w:lang w:val="en-GB"/>
        </w:rPr>
        <w:lastRenderedPageBreak/>
        <w:t xml:space="preserve"> (B) </w:t>
      </w:r>
      <w:r>
        <w:rPr>
          <w:rFonts w:ascii="Times New Roman" w:hAnsi="Times New Roman" w:cs="Times New Roman"/>
          <w:u w:val="single"/>
          <w:lang w:val="en-GB"/>
        </w:rPr>
        <w:t>Changes in Income Tax Rules</w:t>
      </w:r>
    </w:p>
    <w:p w:rsidR="00EC74B3" w:rsidRDefault="00EC74B3">
      <w:pPr>
        <w:pStyle w:val="BodyText3"/>
        <w:tabs>
          <w:tab w:val="left" w:pos="0"/>
          <w:tab w:val="left" w:pos="720"/>
        </w:tabs>
        <w:spacing w:line="360" w:lineRule="auto"/>
        <w:rPr>
          <w:rFonts w:ascii="Times New Roman" w:hAnsi="Times New Roman" w:cs="Times New Roman"/>
          <w:szCs w:val="24"/>
          <w:lang w:val="en-GB"/>
        </w:rPr>
      </w:pPr>
      <w:r>
        <w:rPr>
          <w:rFonts w:ascii="Times New Roman" w:hAnsi="Times New Roman" w:cs="Times New Roman"/>
          <w:szCs w:val="24"/>
          <w:lang w:val="en-GB"/>
        </w:rPr>
        <w:tab/>
        <w:t xml:space="preserve">As already stated transfer pricing regulations are formulated to promote the standardisation and orderly processing of the taxation of cross-border transactions between associated enterprises and to improve the quality and efficiency of tax administration in this regard. It is therefore necessary to have a set of rules for a proper implementation of the proposed legislation. These rules may be considered in a separate chapter in the IT Rules, 1962. </w:t>
      </w:r>
    </w:p>
    <w:p w:rsidR="00EC74B3" w:rsidRDefault="00EC74B3">
      <w:pPr>
        <w:pStyle w:val="Heading2"/>
        <w:tabs>
          <w:tab w:val="clear" w:pos="1728"/>
          <w:tab w:val="left" w:pos="720"/>
        </w:tabs>
        <w:spacing w:line="360" w:lineRule="auto"/>
        <w:rPr>
          <w:rFonts w:ascii="Times New Roman" w:hAnsi="Times New Roman" w:cs="Times New Roman"/>
          <w:lang w:val="en-GB"/>
        </w:rPr>
      </w:pPr>
      <w:r>
        <w:rPr>
          <w:rFonts w:ascii="Times New Roman" w:hAnsi="Times New Roman" w:cs="Times New Roman"/>
          <w:lang w:val="en-GB"/>
        </w:rPr>
        <w:t>(I) Documentation Requirements</w:t>
      </w:r>
    </w:p>
    <w:p w:rsidR="00EC74B3" w:rsidRDefault="00EC74B3">
      <w:pPr>
        <w:pStyle w:val="BodyText2"/>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An assessee would be required to maintain and submit the information and documents in respect of international transaction with an associated enterprise at the following two stages:</w:t>
      </w:r>
    </w:p>
    <w:p w:rsidR="00EC74B3" w:rsidRDefault="00EC74B3" w:rsidP="005077F7">
      <w:pPr>
        <w:pStyle w:val="BodyText2"/>
        <w:numPr>
          <w:ilvl w:val="1"/>
          <w:numId w:val="53"/>
        </w:numPr>
        <w:tabs>
          <w:tab w:val="clear" w:pos="1260"/>
          <w:tab w:val="clear" w:pos="1728"/>
          <w:tab w:val="num" w:pos="72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 xml:space="preserve"> Information and documents required to be filed along with the prescribed report in form </w:t>
      </w:r>
      <w:proofErr w:type="gramStart"/>
      <w:r>
        <w:rPr>
          <w:rFonts w:ascii="Times New Roman" w:hAnsi="Times New Roman" w:cs="Times New Roman"/>
          <w:b w:val="0"/>
          <w:bCs w:val="0"/>
          <w:color w:val="000000"/>
        </w:rPr>
        <w:t>No</w:t>
      </w:r>
      <w:proofErr w:type="gramEnd"/>
      <w:r>
        <w:rPr>
          <w:rFonts w:ascii="Times New Roman" w:hAnsi="Times New Roman" w:cs="Times New Roman"/>
          <w:b w:val="0"/>
          <w:bCs w:val="0"/>
          <w:color w:val="000000"/>
        </w:rPr>
        <w:t>. ________.</w:t>
      </w:r>
    </w:p>
    <w:p w:rsidR="00EC74B3" w:rsidRDefault="00EC74B3" w:rsidP="005077F7">
      <w:pPr>
        <w:pStyle w:val="BodyText2"/>
        <w:numPr>
          <w:ilvl w:val="1"/>
          <w:numId w:val="53"/>
        </w:numPr>
        <w:tabs>
          <w:tab w:val="clear" w:pos="1260"/>
          <w:tab w:val="clear" w:pos="1728"/>
          <w:tab w:val="num" w:pos="72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 xml:space="preserve"> Information &amp; documents required to be produced after issue of notice of enquiry by an I.T. Authority. </w:t>
      </w:r>
    </w:p>
    <w:p w:rsidR="00EC74B3" w:rsidRDefault="00EC74B3">
      <w:pPr>
        <w:pStyle w:val="BodyText2"/>
        <w:spacing w:line="360" w:lineRule="auto"/>
        <w:jc w:val="both"/>
        <w:rPr>
          <w:rFonts w:ascii="Times New Roman" w:hAnsi="Times New Roman" w:cs="Times New Roman"/>
          <w:color w:val="000000"/>
        </w:rPr>
      </w:pPr>
    </w:p>
    <w:p w:rsidR="00EC74B3" w:rsidRDefault="00EC74B3">
      <w:pPr>
        <w:pStyle w:val="BodyText2"/>
        <w:spacing w:line="360" w:lineRule="auto"/>
        <w:jc w:val="both"/>
        <w:rPr>
          <w:rFonts w:ascii="Times New Roman" w:hAnsi="Times New Roman" w:cs="Times New Roman"/>
          <w:color w:val="000000"/>
          <w:u w:val="single"/>
        </w:rPr>
      </w:pPr>
      <w:r>
        <w:rPr>
          <w:rFonts w:ascii="Times New Roman" w:hAnsi="Times New Roman" w:cs="Times New Roman"/>
          <w:color w:val="000000"/>
        </w:rPr>
        <w:t>II</w:t>
      </w:r>
      <w:proofErr w:type="gramStart"/>
      <w:r>
        <w:rPr>
          <w:rFonts w:ascii="Times New Roman" w:hAnsi="Times New Roman" w:cs="Times New Roman"/>
          <w:color w:val="000000"/>
        </w:rPr>
        <w:t xml:space="preserve">.  </w:t>
      </w:r>
      <w:r>
        <w:rPr>
          <w:rFonts w:ascii="Times New Roman" w:hAnsi="Times New Roman" w:cs="Times New Roman"/>
          <w:color w:val="000000"/>
          <w:u w:val="single"/>
        </w:rPr>
        <w:t>Form</w:t>
      </w:r>
      <w:proofErr w:type="gramEnd"/>
      <w:r>
        <w:rPr>
          <w:rFonts w:ascii="Times New Roman" w:hAnsi="Times New Roman" w:cs="Times New Roman"/>
          <w:color w:val="000000"/>
          <w:u w:val="single"/>
        </w:rPr>
        <w:t xml:space="preserve"> of Report of an accountant under section _______:</w:t>
      </w:r>
    </w:p>
    <w:p w:rsidR="00EC74B3" w:rsidRDefault="00EC74B3">
      <w:pPr>
        <w:pStyle w:val="BodyText2"/>
        <w:tabs>
          <w:tab w:val="clear" w:pos="1260"/>
          <w:tab w:val="clear" w:pos="1728"/>
          <w:tab w:val="left" w:pos="54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b/>
        <w:t>The report of an accountant which is required to be furnished by an assessee under section __________ shall be in Form No. ________.</w:t>
      </w:r>
    </w:p>
    <w:p w:rsidR="00EC74B3" w:rsidRDefault="00EC74B3">
      <w:pPr>
        <w:pStyle w:val="BodyText2"/>
        <w:tabs>
          <w:tab w:val="clear" w:pos="1260"/>
          <w:tab w:val="clear" w:pos="1728"/>
          <w:tab w:val="left" w:pos="540"/>
        </w:tabs>
        <w:spacing w:line="360" w:lineRule="auto"/>
        <w:jc w:val="both"/>
        <w:rPr>
          <w:rFonts w:ascii="Times New Roman" w:hAnsi="Times New Roman" w:cs="Times New Roman"/>
          <w:color w:val="000000"/>
        </w:rPr>
      </w:pPr>
    </w:p>
    <w:p w:rsidR="00EC74B3" w:rsidRDefault="00EC74B3">
      <w:pPr>
        <w:pStyle w:val="BodyText2"/>
        <w:tabs>
          <w:tab w:val="clear" w:pos="1260"/>
          <w:tab w:val="clear" w:pos="1728"/>
          <w:tab w:val="left" w:pos="540"/>
        </w:tabs>
        <w:spacing w:line="360" w:lineRule="auto"/>
        <w:jc w:val="both"/>
        <w:rPr>
          <w:rFonts w:ascii="Times New Roman" w:hAnsi="Times New Roman" w:cs="Times New Roman"/>
          <w:b w:val="0"/>
          <w:bCs w:val="0"/>
          <w:color w:val="000000"/>
        </w:rPr>
      </w:pPr>
      <w:r>
        <w:rPr>
          <w:rFonts w:ascii="Times New Roman" w:hAnsi="Times New Roman" w:cs="Times New Roman"/>
          <w:color w:val="000000"/>
        </w:rPr>
        <w:t>III</w:t>
      </w:r>
      <w:proofErr w:type="gramStart"/>
      <w:r>
        <w:rPr>
          <w:rFonts w:ascii="Times New Roman" w:hAnsi="Times New Roman" w:cs="Times New Roman"/>
          <w:color w:val="000000"/>
        </w:rPr>
        <w:t xml:space="preserve">.  </w:t>
      </w:r>
      <w:r>
        <w:rPr>
          <w:rFonts w:ascii="Times New Roman" w:hAnsi="Times New Roman" w:cs="Times New Roman"/>
          <w:color w:val="000000"/>
          <w:u w:val="single"/>
        </w:rPr>
        <w:t>Information</w:t>
      </w:r>
      <w:proofErr w:type="gramEnd"/>
      <w:r>
        <w:rPr>
          <w:rFonts w:ascii="Times New Roman" w:hAnsi="Times New Roman" w:cs="Times New Roman"/>
          <w:color w:val="000000"/>
          <w:u w:val="single"/>
        </w:rPr>
        <w:t xml:space="preserve"> and Documents required to be maintained &amp; furnished</w:t>
      </w:r>
      <w:r>
        <w:rPr>
          <w:rFonts w:ascii="Times New Roman" w:hAnsi="Times New Roman" w:cs="Times New Roman"/>
          <w:b w:val="0"/>
          <w:bCs w:val="0"/>
          <w:color w:val="000000"/>
        </w:rPr>
        <w:t>:</w:t>
      </w:r>
    </w:p>
    <w:p w:rsidR="00EC74B3" w:rsidRDefault="00EC74B3">
      <w:pPr>
        <w:pStyle w:val="BodyText2"/>
        <w:tabs>
          <w:tab w:val="clear" w:pos="1260"/>
          <w:tab w:val="clear" w:pos="1728"/>
          <w:tab w:val="left" w:pos="54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b/>
        <w:t xml:space="preserve">An assessee engaged in international transaction </w:t>
      </w:r>
      <w:proofErr w:type="gramStart"/>
      <w:r>
        <w:rPr>
          <w:rFonts w:ascii="Times New Roman" w:hAnsi="Times New Roman" w:cs="Times New Roman"/>
          <w:b w:val="0"/>
          <w:bCs w:val="0"/>
          <w:color w:val="000000"/>
        </w:rPr>
        <w:t>with an associated enterprises</w:t>
      </w:r>
      <w:proofErr w:type="gramEnd"/>
      <w:r>
        <w:rPr>
          <w:rFonts w:ascii="Times New Roman" w:hAnsi="Times New Roman" w:cs="Times New Roman"/>
          <w:b w:val="0"/>
          <w:bCs w:val="0"/>
          <w:color w:val="000000"/>
        </w:rPr>
        <w:t xml:space="preserve"> shall maintain &amp; produce the following:</w:t>
      </w:r>
      <w:r>
        <w:rPr>
          <w:rFonts w:ascii="Times New Roman" w:hAnsi="Times New Roman" w:cs="Times New Roman"/>
          <w:b w:val="0"/>
          <w:bCs w:val="0"/>
          <w:color w:val="000000"/>
        </w:rPr>
        <w:tab/>
      </w:r>
    </w:p>
    <w:p w:rsidR="00EC74B3" w:rsidRDefault="00EC74B3" w:rsidP="005077F7">
      <w:pPr>
        <w:pStyle w:val="BodyText2"/>
        <w:numPr>
          <w:ilvl w:val="0"/>
          <w:numId w:val="54"/>
        </w:numPr>
        <w:tabs>
          <w:tab w:val="num" w:pos="288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Name  &amp; address of the associated enterprises</w:t>
      </w:r>
    </w:p>
    <w:p w:rsidR="00EC74B3" w:rsidRDefault="00EC74B3" w:rsidP="005077F7">
      <w:pPr>
        <w:pStyle w:val="BodyText2"/>
        <w:numPr>
          <w:ilvl w:val="0"/>
          <w:numId w:val="54"/>
        </w:numPr>
        <w:tabs>
          <w:tab w:val="num" w:pos="288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Relationship of the associated enterprise with the assessee.</w:t>
      </w:r>
    </w:p>
    <w:p w:rsidR="00EC74B3" w:rsidRDefault="00EC74B3" w:rsidP="005077F7">
      <w:pPr>
        <w:pStyle w:val="BodyText2"/>
        <w:numPr>
          <w:ilvl w:val="0"/>
          <w:numId w:val="54"/>
        </w:numPr>
        <w:tabs>
          <w:tab w:val="num" w:pos="288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 xml:space="preserve">Details of international transactions with each of the associated enterprise:                                                                                                                       </w:t>
      </w:r>
    </w:p>
    <w:p w:rsidR="00EC74B3" w:rsidRDefault="00EC74B3" w:rsidP="005077F7">
      <w:pPr>
        <w:pStyle w:val="BodyText2"/>
        <w:numPr>
          <w:ilvl w:val="0"/>
          <w:numId w:val="49"/>
        </w:numPr>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Value of purchase/sale of goods including goods of a capital nature.</w:t>
      </w:r>
    </w:p>
    <w:p w:rsidR="00EC74B3" w:rsidRDefault="00EC74B3" w:rsidP="005077F7">
      <w:pPr>
        <w:pStyle w:val="BodyText2"/>
        <w:numPr>
          <w:ilvl w:val="0"/>
          <w:numId w:val="49"/>
        </w:numPr>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Value or consideration accruing or payable for any transaction in respect of any services performed/availed or for intangibles.</w:t>
      </w:r>
    </w:p>
    <w:p w:rsidR="00EC74B3" w:rsidRDefault="00EC74B3" w:rsidP="005077F7">
      <w:pPr>
        <w:pStyle w:val="BodyText2"/>
        <w:numPr>
          <w:ilvl w:val="0"/>
          <w:numId w:val="49"/>
        </w:numPr>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Receipts/payments not covered by any of the above categories.</w:t>
      </w:r>
    </w:p>
    <w:p w:rsidR="00EC74B3" w:rsidRDefault="00EC74B3" w:rsidP="005077F7">
      <w:pPr>
        <w:pStyle w:val="BodyText2"/>
        <w:numPr>
          <w:ilvl w:val="0"/>
          <w:numId w:val="49"/>
        </w:numPr>
        <w:tabs>
          <w:tab w:val="num" w:pos="144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 xml:space="preserve">Loans and advances.       </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The details of property or services to which the transaction (s) relates.</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An overview of the taxpayer’s business, including an analysis of the economic and legal factors that affect the pricing of its property or services.</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lastRenderedPageBreak/>
        <w:t>All commercial agreements covering the terms and conditions of the transaction with associated enterprises as well as with independent parties.</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The description of the assessee’s ownership structure covering all associated enterprises including foreign parents and associates.</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The functions performed, the property used or contributed and the risks assumed, the assumptions, strategies and policies (including price negotiations), if any, that influenced the determination of the transfer price in respect of the transaction and a record of the business or management or pricing strategy adopted by the assessee and the reasons for the same.</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The data and methods considered and the analysis performed to determine the transfer price in respect of the transaction and also why the selected method will produce “arm’s length” pricing.</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All investment appraisals undertaken by the assessee in relation to an investment in or involving associated enterprises.</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 record of transactions taken into account in determining the pricing for the relevant international transaction.</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 record of the nature, terms and pricing relating to any uncontrolled transaction in which the assessee was involved and which are relevant for determining the “arm’s length” price for any comparable transaction involving the assessee and the associated enterprise.</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 record of any forecast, budget and financial information prepared not only for the whole business but for each division</w:t>
      </w:r>
      <w:proofErr w:type="gramStart"/>
      <w:r>
        <w:rPr>
          <w:rFonts w:ascii="Times New Roman" w:hAnsi="Times New Roman" w:cs="Times New Roman"/>
          <w:b w:val="0"/>
          <w:bCs w:val="0"/>
          <w:color w:val="000000"/>
        </w:rPr>
        <w:t>,  product</w:t>
      </w:r>
      <w:proofErr w:type="gramEnd"/>
      <w:r>
        <w:rPr>
          <w:rFonts w:ascii="Times New Roman" w:hAnsi="Times New Roman" w:cs="Times New Roman"/>
          <w:b w:val="0"/>
          <w:bCs w:val="0"/>
          <w:color w:val="000000"/>
        </w:rPr>
        <w:t>, etc. separately.</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t>Accounts of the associated enterprises relevant to determine the arm’s length price of the international transaction of the assessee.</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lang w:val="en-GB"/>
        </w:rPr>
      </w:pPr>
      <w:r>
        <w:rPr>
          <w:rFonts w:ascii="Times New Roman" w:hAnsi="Times New Roman" w:cs="Times New Roman"/>
          <w:b w:val="0"/>
          <w:bCs w:val="0"/>
          <w:color w:val="000000"/>
        </w:rPr>
        <w:t xml:space="preserve">Tax treatment accorded to the transaction by the tax authorities of the country. </w:t>
      </w:r>
    </w:p>
    <w:p w:rsidR="00EC74B3" w:rsidRDefault="00EC74B3" w:rsidP="005077F7">
      <w:pPr>
        <w:pStyle w:val="BodyText2"/>
        <w:numPr>
          <w:ilvl w:val="0"/>
          <w:numId w:val="54"/>
        </w:numPr>
        <w:tabs>
          <w:tab w:val="clear" w:pos="1260"/>
          <w:tab w:val="clear" w:pos="1728"/>
          <w:tab w:val="left" w:pos="900"/>
          <w:tab w:val="num" w:pos="1140"/>
        </w:tabs>
        <w:spacing w:line="360" w:lineRule="auto"/>
        <w:jc w:val="both"/>
        <w:rPr>
          <w:rFonts w:ascii="Times New Roman" w:hAnsi="Times New Roman" w:cs="Times New Roman"/>
          <w:b w:val="0"/>
          <w:bCs w:val="0"/>
          <w:lang w:val="en-GB"/>
        </w:rPr>
      </w:pPr>
      <w:r>
        <w:rPr>
          <w:rFonts w:ascii="Times New Roman" w:hAnsi="Times New Roman" w:cs="Times New Roman"/>
          <w:b w:val="0"/>
          <w:bCs w:val="0"/>
          <w:color w:val="000000"/>
        </w:rPr>
        <w:t xml:space="preserve">A </w:t>
      </w:r>
      <w:r>
        <w:rPr>
          <w:rFonts w:ascii="Times New Roman" w:hAnsi="Times New Roman" w:cs="Times New Roman"/>
          <w:b w:val="0"/>
          <w:bCs w:val="0"/>
          <w:lang w:val="en-GB"/>
        </w:rPr>
        <w:t>description of the controlled transactions (including the terms of sale and any internal data used to analyse those transactions);</w:t>
      </w:r>
    </w:p>
    <w:p w:rsidR="00EC74B3" w:rsidRDefault="00EC74B3" w:rsidP="005077F7">
      <w:pPr>
        <w:pStyle w:val="BodyText2"/>
        <w:numPr>
          <w:ilvl w:val="0"/>
          <w:numId w:val="54"/>
        </w:numPr>
        <w:tabs>
          <w:tab w:val="clear" w:pos="1260"/>
          <w:tab w:val="clear" w:pos="1728"/>
          <w:tab w:val="left" w:pos="900"/>
          <w:tab w:val="num" w:pos="1140"/>
        </w:tabs>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A description of the comparables that were used, how comparability was evaluated, and what (if any) adjustments were made; and</w:t>
      </w:r>
    </w:p>
    <w:p w:rsidR="00EC74B3" w:rsidRDefault="00EC74B3" w:rsidP="005077F7">
      <w:pPr>
        <w:pStyle w:val="BodyText2"/>
        <w:numPr>
          <w:ilvl w:val="0"/>
          <w:numId w:val="54"/>
        </w:numPr>
        <w:tabs>
          <w:tab w:val="clear" w:pos="1260"/>
          <w:tab w:val="clear" w:pos="1728"/>
          <w:tab w:val="left" w:pos="900"/>
        </w:tabs>
        <w:spacing w:line="360" w:lineRule="auto"/>
        <w:jc w:val="both"/>
        <w:rPr>
          <w:rFonts w:ascii="Times New Roman" w:hAnsi="Times New Roman" w:cs="Times New Roman"/>
          <w:b w:val="0"/>
          <w:bCs w:val="0"/>
          <w:color w:val="000000"/>
        </w:rPr>
      </w:pPr>
      <w:r>
        <w:rPr>
          <w:rFonts w:ascii="Times New Roman" w:hAnsi="Times New Roman" w:cs="Times New Roman"/>
          <w:b w:val="0"/>
          <w:bCs w:val="0"/>
          <w:lang w:val="en-GB"/>
        </w:rPr>
        <w:t>A general index of the principal and background documents and a description of</w:t>
      </w:r>
      <w:r>
        <w:rPr>
          <w:rFonts w:ascii="Times New Roman" w:hAnsi="Times New Roman" w:cs="Times New Roman"/>
          <w:b w:val="0"/>
          <w:bCs w:val="0"/>
          <w:color w:val="000000"/>
        </w:rPr>
        <w:t xml:space="preserve"> the record-keeping system used for cataloguing and accessing those documents.                                                                                                                                                             </w:t>
      </w:r>
    </w:p>
    <w:p w:rsidR="00EC74B3" w:rsidRDefault="00EC74B3">
      <w:pPr>
        <w:pStyle w:val="BodyText2"/>
        <w:spacing w:line="360" w:lineRule="auto"/>
        <w:jc w:val="both"/>
        <w:rPr>
          <w:rFonts w:ascii="Times New Roman" w:hAnsi="Times New Roman" w:cs="Times New Roman"/>
          <w:b w:val="0"/>
          <w:bCs w:val="0"/>
          <w:color w:val="000000"/>
        </w:rPr>
      </w:pPr>
      <w:proofErr w:type="gramStart"/>
      <w:r>
        <w:rPr>
          <w:rFonts w:ascii="Times New Roman" w:hAnsi="Times New Roman" w:cs="Times New Roman"/>
          <w:color w:val="000000"/>
          <w:u w:val="single"/>
        </w:rPr>
        <w:lastRenderedPageBreak/>
        <w:t>Explanation :</w:t>
      </w:r>
      <w:proofErr w:type="gramEnd"/>
      <w:r>
        <w:rPr>
          <w:rFonts w:ascii="Times New Roman" w:hAnsi="Times New Roman" w:cs="Times New Roman"/>
          <w:b w:val="0"/>
          <w:bCs w:val="0"/>
          <w:color w:val="000000"/>
        </w:rPr>
        <w:t xml:space="preserve"> All above information &amp; documents should be preserved for a period of 10 years from the end of the year in which the transaction with associated enterprise takes place.</w:t>
      </w:r>
    </w:p>
    <w:p w:rsidR="00EC74B3" w:rsidRDefault="00EC74B3">
      <w:pPr>
        <w:pStyle w:val="BodyText2"/>
        <w:spacing w:line="360" w:lineRule="auto"/>
        <w:jc w:val="both"/>
        <w:rPr>
          <w:rFonts w:ascii="Times New Roman" w:hAnsi="Times New Roman" w:cs="Times New Roman"/>
          <w:b w:val="0"/>
          <w:bCs w:val="0"/>
          <w:color w:val="000000"/>
        </w:rPr>
      </w:pPr>
      <w:r>
        <w:rPr>
          <w:rFonts w:ascii="Times New Roman" w:hAnsi="Times New Roman" w:cs="Times New Roman"/>
          <w:b w:val="0"/>
          <w:bCs w:val="0"/>
          <w:color w:val="000000"/>
        </w:rPr>
        <w:br w:type="page"/>
      </w:r>
    </w:p>
    <w:p w:rsidR="00EC74B3" w:rsidRDefault="00EC74B3">
      <w:pPr>
        <w:pStyle w:val="BodyText2"/>
        <w:spacing w:line="360" w:lineRule="auto"/>
        <w:jc w:val="center"/>
        <w:rPr>
          <w:rFonts w:ascii="Times New Roman" w:hAnsi="Times New Roman" w:cs="Times New Roman"/>
          <w:color w:val="000000"/>
        </w:rPr>
      </w:pPr>
      <w:r>
        <w:rPr>
          <w:rFonts w:ascii="Times New Roman" w:hAnsi="Times New Roman" w:cs="Times New Roman"/>
          <w:color w:val="000000"/>
        </w:rPr>
        <w:t>FORM NO. ………</w:t>
      </w:r>
    </w:p>
    <w:p w:rsidR="00EC74B3" w:rsidRDefault="00EC74B3">
      <w:pPr>
        <w:pStyle w:val="BodyText2"/>
        <w:spacing w:line="360" w:lineRule="auto"/>
        <w:jc w:val="center"/>
        <w:rPr>
          <w:rFonts w:ascii="Times New Roman" w:hAnsi="Times New Roman" w:cs="Times New Roman"/>
          <w:color w:val="000000"/>
        </w:rPr>
      </w:pPr>
      <w:r>
        <w:rPr>
          <w:rFonts w:ascii="Times New Roman" w:hAnsi="Times New Roman" w:cs="Times New Roman"/>
          <w:color w:val="000000"/>
        </w:rPr>
        <w:t>[SEE RULE         ]</w:t>
      </w:r>
    </w:p>
    <w:p w:rsidR="00EC74B3" w:rsidRDefault="00EC74B3">
      <w:pPr>
        <w:pStyle w:val="BodyText2"/>
        <w:spacing w:line="360" w:lineRule="auto"/>
        <w:jc w:val="center"/>
        <w:rPr>
          <w:rFonts w:ascii="Times New Roman" w:hAnsi="Times New Roman" w:cs="Times New Roman"/>
          <w:b w:val="0"/>
          <w:bCs w:val="0"/>
          <w:color w:val="000000"/>
        </w:rPr>
      </w:pPr>
      <w:r>
        <w:rPr>
          <w:rFonts w:ascii="Times New Roman" w:hAnsi="Times New Roman" w:cs="Times New Roman"/>
          <w:b w:val="0"/>
          <w:bCs w:val="0"/>
          <w:color w:val="000000"/>
        </w:rPr>
        <w:t xml:space="preserve">Statement of particulars required to be furnished </w:t>
      </w:r>
    </w:p>
    <w:p w:rsidR="00EC74B3" w:rsidRDefault="00EC74B3">
      <w:pPr>
        <w:pStyle w:val="BodyText2"/>
        <w:spacing w:line="360" w:lineRule="auto"/>
        <w:jc w:val="center"/>
        <w:rPr>
          <w:rFonts w:ascii="Times New Roman" w:hAnsi="Times New Roman" w:cs="Times New Roman"/>
          <w:b w:val="0"/>
          <w:bCs w:val="0"/>
          <w:color w:val="000000"/>
        </w:rPr>
      </w:pPr>
      <w:proofErr w:type="gramStart"/>
      <w:r>
        <w:rPr>
          <w:rFonts w:ascii="Times New Roman" w:hAnsi="Times New Roman" w:cs="Times New Roman"/>
          <w:b w:val="0"/>
          <w:bCs w:val="0"/>
          <w:color w:val="000000"/>
        </w:rPr>
        <w:t>under</w:t>
      </w:r>
      <w:proofErr w:type="gramEnd"/>
      <w:r>
        <w:rPr>
          <w:rFonts w:ascii="Times New Roman" w:hAnsi="Times New Roman" w:cs="Times New Roman"/>
          <w:b w:val="0"/>
          <w:bCs w:val="0"/>
          <w:color w:val="000000"/>
        </w:rPr>
        <w:t xml:space="preserve"> section  _____  of the Income Tax Act, 1961</w:t>
      </w:r>
    </w:p>
    <w:p w:rsidR="00EC74B3" w:rsidRDefault="00EC74B3">
      <w:pPr>
        <w:pStyle w:val="Title"/>
        <w:spacing w:line="360" w:lineRule="auto"/>
        <w:jc w:val="left"/>
        <w:rPr>
          <w:bCs/>
          <w:color w:val="000000"/>
          <w:sz w:val="24"/>
        </w:rPr>
      </w:pPr>
      <w:r>
        <w:rPr>
          <w:bCs/>
          <w:color w:val="000000"/>
          <w:sz w:val="24"/>
        </w:rPr>
        <w:t xml:space="preserve">   </w:t>
      </w:r>
    </w:p>
    <w:p w:rsidR="00EC74B3" w:rsidRDefault="00EC74B3">
      <w:pPr>
        <w:pStyle w:val="Title"/>
        <w:spacing w:line="360" w:lineRule="auto"/>
        <w:rPr>
          <w:bCs/>
          <w:color w:val="000000"/>
          <w:sz w:val="24"/>
        </w:rPr>
      </w:pPr>
      <w:r>
        <w:rPr>
          <w:bCs/>
          <w:color w:val="000000"/>
          <w:sz w:val="24"/>
        </w:rPr>
        <w:t xml:space="preserve">PART – A </w:t>
      </w:r>
    </w:p>
    <w:p w:rsidR="00EC74B3" w:rsidRDefault="00EC74B3">
      <w:pPr>
        <w:pStyle w:val="Title"/>
        <w:spacing w:line="360" w:lineRule="auto"/>
        <w:rPr>
          <w:b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2"/>
        <w:gridCol w:w="4263"/>
      </w:tblGrid>
      <w:tr w:rsidR="00EC74B3">
        <w:tblPrEx>
          <w:tblCellMar>
            <w:top w:w="0" w:type="dxa"/>
            <w:bottom w:w="0" w:type="dxa"/>
          </w:tblCellMar>
        </w:tblPrEx>
        <w:tc>
          <w:tcPr>
            <w:tcW w:w="4262" w:type="dxa"/>
          </w:tcPr>
          <w:p w:rsidR="00EC74B3" w:rsidRDefault="00EC74B3" w:rsidP="005077F7">
            <w:pPr>
              <w:pStyle w:val="Title"/>
              <w:numPr>
                <w:ilvl w:val="0"/>
                <w:numId w:val="50"/>
              </w:numPr>
              <w:spacing w:line="360" w:lineRule="auto"/>
              <w:jc w:val="left"/>
              <w:rPr>
                <w:b w:val="0"/>
                <w:color w:val="000000"/>
                <w:sz w:val="24"/>
                <w:u w:val="none"/>
              </w:rPr>
            </w:pPr>
            <w:r>
              <w:rPr>
                <w:b w:val="0"/>
                <w:color w:val="000000"/>
                <w:sz w:val="24"/>
                <w:u w:val="none"/>
              </w:rPr>
              <w:t>Name of the assessee</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tabs>
                <w:tab w:val="left" w:pos="540"/>
              </w:tabs>
              <w:spacing w:line="360" w:lineRule="auto"/>
              <w:ind w:left="540" w:hanging="540"/>
              <w:jc w:val="left"/>
              <w:rPr>
                <w:b w:val="0"/>
                <w:color w:val="000000"/>
                <w:sz w:val="24"/>
                <w:u w:val="none"/>
              </w:rPr>
            </w:pPr>
            <w:r>
              <w:rPr>
                <w:b w:val="0"/>
                <w:color w:val="000000"/>
                <w:sz w:val="24"/>
                <w:u w:val="none"/>
              </w:rPr>
              <w:t>2.   Address</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t>3.  Permanent Account Number</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t>4.  Status</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t>5.  Previous year ended</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t>6.  Assessment year</w:t>
            </w:r>
          </w:p>
        </w:tc>
        <w:tc>
          <w:tcPr>
            <w:tcW w:w="4263" w:type="dxa"/>
          </w:tcPr>
          <w:p w:rsidR="00EC74B3" w:rsidRDefault="00EC74B3">
            <w:pPr>
              <w:pStyle w:val="Title"/>
              <w:spacing w:line="360" w:lineRule="auto"/>
              <w:rPr>
                <w:bCs/>
                <w:color w:val="000000"/>
                <w:sz w:val="24"/>
              </w:rPr>
            </w:pPr>
          </w:p>
        </w:tc>
      </w:tr>
    </w:tbl>
    <w:p w:rsidR="00EC74B3" w:rsidRDefault="00EC74B3">
      <w:pPr>
        <w:pStyle w:val="Title"/>
        <w:spacing w:line="360" w:lineRule="auto"/>
        <w:rPr>
          <w:bCs/>
          <w:color w:val="000000"/>
          <w:sz w:val="24"/>
        </w:rPr>
      </w:pPr>
    </w:p>
    <w:p w:rsidR="00EC74B3" w:rsidRDefault="00EC74B3">
      <w:pPr>
        <w:pStyle w:val="Title"/>
        <w:spacing w:line="360" w:lineRule="auto"/>
        <w:rPr>
          <w:bCs/>
          <w:color w:val="000000"/>
          <w:sz w:val="24"/>
        </w:rPr>
      </w:pPr>
      <w:r>
        <w:rPr>
          <w:bCs/>
          <w:color w:val="000000"/>
          <w:sz w:val="24"/>
        </w:rPr>
        <w:t>PART –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2"/>
        <w:gridCol w:w="4263"/>
      </w:tblGrid>
      <w:tr w:rsidR="00EC74B3">
        <w:tblPrEx>
          <w:tblCellMar>
            <w:top w:w="0" w:type="dxa"/>
            <w:bottom w:w="0" w:type="dxa"/>
          </w:tblCellMar>
        </w:tblPrEx>
        <w:tc>
          <w:tcPr>
            <w:tcW w:w="4262" w:type="dxa"/>
          </w:tcPr>
          <w:p w:rsidR="00EC74B3" w:rsidRDefault="00EC74B3" w:rsidP="005077F7">
            <w:pPr>
              <w:pStyle w:val="Title"/>
              <w:numPr>
                <w:ilvl w:val="1"/>
                <w:numId w:val="49"/>
              </w:numPr>
              <w:tabs>
                <w:tab w:val="num" w:pos="0"/>
              </w:tabs>
              <w:spacing w:line="360" w:lineRule="auto"/>
              <w:ind w:hanging="1425"/>
              <w:jc w:val="left"/>
              <w:rPr>
                <w:b w:val="0"/>
                <w:color w:val="000000"/>
                <w:sz w:val="24"/>
                <w:u w:val="none"/>
              </w:rPr>
            </w:pPr>
            <w:r>
              <w:rPr>
                <w:b w:val="0"/>
                <w:color w:val="000000"/>
                <w:sz w:val="24"/>
                <w:u w:val="none"/>
              </w:rPr>
              <w:t xml:space="preserve">7. Name and addresses of the </w:t>
            </w:r>
            <w:proofErr w:type="gramStart"/>
            <w:r>
              <w:rPr>
                <w:b w:val="0"/>
                <w:color w:val="000000"/>
                <w:sz w:val="24"/>
                <w:u w:val="none"/>
              </w:rPr>
              <w:t>Associated</w:t>
            </w:r>
            <w:proofErr w:type="gramEnd"/>
            <w:r>
              <w:rPr>
                <w:b w:val="0"/>
                <w:color w:val="000000"/>
                <w:sz w:val="24"/>
                <w:u w:val="none"/>
              </w:rPr>
              <w:t xml:space="preserve">     enterprises</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rsidP="005077F7">
            <w:pPr>
              <w:pStyle w:val="Title"/>
              <w:numPr>
                <w:ilvl w:val="1"/>
                <w:numId w:val="49"/>
              </w:numPr>
              <w:tabs>
                <w:tab w:val="num" w:pos="0"/>
              </w:tabs>
              <w:spacing w:line="360" w:lineRule="auto"/>
              <w:ind w:hanging="1425"/>
              <w:jc w:val="left"/>
              <w:rPr>
                <w:b w:val="0"/>
                <w:color w:val="000000"/>
                <w:sz w:val="24"/>
                <w:u w:val="none"/>
              </w:rPr>
            </w:pPr>
            <w:r>
              <w:rPr>
                <w:b w:val="0"/>
                <w:color w:val="000000"/>
                <w:sz w:val="24"/>
                <w:u w:val="none"/>
              </w:rPr>
              <w:t>8. Description of the business of</w:t>
            </w:r>
          </w:p>
          <w:p w:rsidR="00EC74B3" w:rsidRDefault="00EC74B3">
            <w:pPr>
              <w:pStyle w:val="Title"/>
              <w:spacing w:line="360" w:lineRule="auto"/>
              <w:ind w:left="540"/>
              <w:jc w:val="left"/>
              <w:rPr>
                <w:b w:val="0"/>
                <w:color w:val="000000"/>
                <w:sz w:val="24"/>
                <w:u w:val="none"/>
              </w:rPr>
            </w:pPr>
            <w:r>
              <w:rPr>
                <w:b w:val="0"/>
                <w:color w:val="000000"/>
                <w:sz w:val="24"/>
                <w:u w:val="none"/>
              </w:rPr>
              <w:t>a) Assessee</w:t>
            </w:r>
          </w:p>
          <w:p w:rsidR="00EC74B3" w:rsidRDefault="00EC74B3">
            <w:pPr>
              <w:pStyle w:val="Title"/>
              <w:spacing w:line="360" w:lineRule="auto"/>
              <w:jc w:val="left"/>
              <w:rPr>
                <w:b w:val="0"/>
                <w:color w:val="000000"/>
                <w:sz w:val="24"/>
                <w:u w:val="none"/>
              </w:rPr>
            </w:pPr>
            <w:r>
              <w:rPr>
                <w:b w:val="0"/>
                <w:color w:val="000000"/>
                <w:sz w:val="24"/>
                <w:u w:val="none"/>
              </w:rPr>
              <w:t xml:space="preserve">         b) Associated enterprise</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t>9.  Ownership linkages with the associated enterprises</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t>10. Value of international transaction with associated enterprises</w:t>
            </w:r>
          </w:p>
          <w:p w:rsidR="00EC74B3" w:rsidRDefault="00EC74B3" w:rsidP="005077F7">
            <w:pPr>
              <w:pStyle w:val="Title"/>
              <w:numPr>
                <w:ilvl w:val="0"/>
                <w:numId w:val="51"/>
              </w:numPr>
              <w:spacing w:line="360" w:lineRule="auto"/>
              <w:jc w:val="left"/>
              <w:rPr>
                <w:b w:val="0"/>
                <w:color w:val="000000"/>
                <w:sz w:val="24"/>
                <w:u w:val="none"/>
              </w:rPr>
            </w:pPr>
            <w:r>
              <w:rPr>
                <w:b w:val="0"/>
                <w:color w:val="000000"/>
                <w:sz w:val="24"/>
                <w:u w:val="none"/>
              </w:rPr>
              <w:t xml:space="preserve">Total value of purchase/sale of goods, including goods of a capital nature  </w:t>
            </w:r>
          </w:p>
          <w:p w:rsidR="00EC74B3" w:rsidRDefault="00EC74B3" w:rsidP="005077F7">
            <w:pPr>
              <w:pStyle w:val="Title"/>
              <w:numPr>
                <w:ilvl w:val="0"/>
                <w:numId w:val="51"/>
              </w:numPr>
              <w:spacing w:line="360" w:lineRule="auto"/>
              <w:jc w:val="left"/>
              <w:rPr>
                <w:b w:val="0"/>
                <w:color w:val="000000"/>
                <w:sz w:val="24"/>
                <w:u w:val="none"/>
              </w:rPr>
            </w:pPr>
            <w:r>
              <w:rPr>
                <w:b w:val="0"/>
                <w:color w:val="000000"/>
                <w:sz w:val="24"/>
                <w:u w:val="none"/>
              </w:rPr>
              <w:t>Total value or consideration accruing or payable for any transaction in respect of any services performed/availed or for intangibles</w:t>
            </w:r>
          </w:p>
          <w:p w:rsidR="00EC74B3" w:rsidRDefault="00EC74B3" w:rsidP="005077F7">
            <w:pPr>
              <w:pStyle w:val="Title"/>
              <w:numPr>
                <w:ilvl w:val="0"/>
                <w:numId w:val="51"/>
              </w:numPr>
              <w:spacing w:line="360" w:lineRule="auto"/>
              <w:jc w:val="left"/>
              <w:rPr>
                <w:b w:val="0"/>
                <w:color w:val="000000"/>
                <w:sz w:val="24"/>
                <w:u w:val="none"/>
              </w:rPr>
            </w:pPr>
            <w:r>
              <w:rPr>
                <w:b w:val="0"/>
                <w:color w:val="000000"/>
                <w:sz w:val="24"/>
                <w:u w:val="none"/>
              </w:rPr>
              <w:t xml:space="preserve">Total value of receipts/payments not covered by any of the above </w:t>
            </w:r>
            <w:r>
              <w:rPr>
                <w:b w:val="0"/>
                <w:color w:val="000000"/>
                <w:sz w:val="24"/>
                <w:u w:val="none"/>
              </w:rPr>
              <w:lastRenderedPageBreak/>
              <w:t>categories</w:t>
            </w:r>
          </w:p>
          <w:p w:rsidR="00EC74B3" w:rsidRDefault="00EC74B3" w:rsidP="005077F7">
            <w:pPr>
              <w:pStyle w:val="Title"/>
              <w:numPr>
                <w:ilvl w:val="0"/>
                <w:numId w:val="51"/>
              </w:numPr>
              <w:spacing w:line="360" w:lineRule="auto"/>
              <w:jc w:val="left"/>
              <w:rPr>
                <w:b w:val="0"/>
                <w:color w:val="000000"/>
                <w:sz w:val="24"/>
                <w:u w:val="none"/>
              </w:rPr>
            </w:pPr>
            <w:r>
              <w:rPr>
                <w:b w:val="0"/>
                <w:color w:val="000000"/>
                <w:sz w:val="24"/>
                <w:u w:val="none"/>
              </w:rPr>
              <w:t>Total value of loans &amp; advances</w:t>
            </w:r>
          </w:p>
        </w:tc>
        <w:tc>
          <w:tcPr>
            <w:tcW w:w="4263" w:type="dxa"/>
          </w:tcPr>
          <w:p w:rsidR="00EC74B3" w:rsidRDefault="00EC74B3">
            <w:pPr>
              <w:pStyle w:val="Title"/>
              <w:spacing w:line="360" w:lineRule="auto"/>
              <w:rPr>
                <w:bCs/>
                <w:color w:val="000000"/>
                <w:sz w:val="24"/>
              </w:rPr>
            </w:pPr>
          </w:p>
        </w:tc>
      </w:tr>
      <w:tr w:rsidR="00EC74B3">
        <w:tblPrEx>
          <w:tblCellMar>
            <w:top w:w="0" w:type="dxa"/>
            <w:bottom w:w="0" w:type="dxa"/>
          </w:tblCellMar>
        </w:tblPrEx>
        <w:tc>
          <w:tcPr>
            <w:tcW w:w="4262" w:type="dxa"/>
          </w:tcPr>
          <w:p w:rsidR="00EC74B3" w:rsidRDefault="00EC74B3">
            <w:pPr>
              <w:pStyle w:val="Title"/>
              <w:spacing w:line="360" w:lineRule="auto"/>
              <w:jc w:val="left"/>
              <w:rPr>
                <w:b w:val="0"/>
                <w:color w:val="000000"/>
                <w:sz w:val="24"/>
                <w:u w:val="none"/>
              </w:rPr>
            </w:pPr>
            <w:r>
              <w:rPr>
                <w:b w:val="0"/>
                <w:color w:val="000000"/>
                <w:sz w:val="24"/>
                <w:u w:val="none"/>
              </w:rPr>
              <w:lastRenderedPageBreak/>
              <w:t>11.  A description of specific method used to determine Arm’s length price of international transaction with associated enterprise and the explanation of why the same was selected as the most reasonable method.</w:t>
            </w:r>
          </w:p>
        </w:tc>
        <w:tc>
          <w:tcPr>
            <w:tcW w:w="4263" w:type="dxa"/>
          </w:tcPr>
          <w:p w:rsidR="00EC74B3" w:rsidRDefault="00EC74B3">
            <w:pPr>
              <w:pStyle w:val="Title"/>
              <w:spacing w:line="360" w:lineRule="auto"/>
              <w:rPr>
                <w:bCs/>
                <w:color w:val="000000"/>
                <w:sz w:val="24"/>
              </w:rPr>
            </w:pPr>
          </w:p>
        </w:tc>
      </w:tr>
    </w:tbl>
    <w:p w:rsidR="00EC74B3" w:rsidRDefault="00EC74B3">
      <w:pPr>
        <w:spacing w:line="360" w:lineRule="auto"/>
        <w:jc w:val="both"/>
        <w:rPr>
          <w:color w:val="000000"/>
        </w:rPr>
      </w:pPr>
    </w:p>
    <w:p w:rsidR="00EC74B3" w:rsidRDefault="00EC74B3">
      <w:pPr>
        <w:pStyle w:val="Heading1"/>
        <w:spacing w:line="360" w:lineRule="auto"/>
        <w:jc w:val="both"/>
        <w:rPr>
          <w:rFonts w:ascii="Times New Roman" w:hAnsi="Times New Roman" w:cs="Times New Roman"/>
          <w:b w:val="0"/>
          <w:bCs w:val="0"/>
        </w:rPr>
      </w:pPr>
      <w:r>
        <w:rPr>
          <w:rFonts w:ascii="Times New Roman" w:hAnsi="Times New Roman" w:cs="Times New Roman"/>
          <w:b w:val="0"/>
          <w:bCs w:val="0"/>
        </w:rPr>
        <w:t>Place</w:t>
      </w:r>
    </w:p>
    <w:p w:rsidR="00EC74B3" w:rsidRDefault="00EC74B3">
      <w:pPr>
        <w:spacing w:line="360" w:lineRule="auto"/>
        <w:jc w:val="both"/>
        <w:rPr>
          <w:color w:val="000000"/>
        </w:rPr>
      </w:pPr>
      <w:r>
        <w:rPr>
          <w:color w:val="000000"/>
        </w:rPr>
        <w:t>Date</w:t>
      </w:r>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(Signed)</w:t>
      </w:r>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Accountant :</w:t>
      </w:r>
      <w:proofErr w:type="gramEnd"/>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Name :</w:t>
      </w:r>
      <w:proofErr w:type="gramEnd"/>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Address:</w:t>
      </w:r>
    </w:p>
    <w:p w:rsidR="00EC74B3" w:rsidRDefault="00EC74B3">
      <w:pPr>
        <w:spacing w:line="360" w:lineRule="auto"/>
        <w:jc w:val="both"/>
        <w:rPr>
          <w:color w:val="000000"/>
        </w:rPr>
      </w:pPr>
    </w:p>
    <w:p w:rsidR="00EC74B3" w:rsidRDefault="00EC74B3">
      <w:pPr>
        <w:pStyle w:val="Heading3"/>
      </w:pPr>
      <w:r>
        <w:t>CERTIFICATION</w:t>
      </w:r>
    </w:p>
    <w:p w:rsidR="00EC74B3" w:rsidRDefault="00EC74B3">
      <w:pPr>
        <w:pStyle w:val="BodyText"/>
        <w:jc w:val="both"/>
      </w:pPr>
      <w:r>
        <w:rPr>
          <w:rFonts w:ascii="Times New Roman" w:hAnsi="Times New Roman" w:cs="Times New Roman"/>
          <w:sz w:val="24"/>
        </w:rPr>
        <w:tab/>
        <w:t>I/we …………………. (</w:t>
      </w:r>
      <w:proofErr w:type="gramStart"/>
      <w:r>
        <w:rPr>
          <w:rFonts w:ascii="Times New Roman" w:hAnsi="Times New Roman" w:cs="Times New Roman"/>
          <w:sz w:val="24"/>
        </w:rPr>
        <w:t>name</w:t>
      </w:r>
      <w:proofErr w:type="gramEnd"/>
      <w:r>
        <w:rPr>
          <w:rFonts w:ascii="Times New Roman" w:hAnsi="Times New Roman" w:cs="Times New Roman"/>
          <w:sz w:val="24"/>
        </w:rPr>
        <w:t xml:space="preserve"> of accountant) have examined the accounts and records of  ………………………………. (</w:t>
      </w:r>
      <w:proofErr w:type="gramStart"/>
      <w:r>
        <w:rPr>
          <w:rFonts w:ascii="Times New Roman" w:hAnsi="Times New Roman" w:cs="Times New Roman"/>
          <w:sz w:val="24"/>
        </w:rPr>
        <w:t>name</w:t>
      </w:r>
      <w:proofErr w:type="gramEnd"/>
      <w:r>
        <w:rPr>
          <w:rFonts w:ascii="Times New Roman" w:hAnsi="Times New Roman" w:cs="Times New Roman"/>
          <w:sz w:val="24"/>
        </w:rPr>
        <w:t xml:space="preserve"> &amp; address of assessee)  for the previous year ended on </w:t>
      </w:r>
      <w:r>
        <w:t>……………………</w:t>
      </w:r>
    </w:p>
    <w:p w:rsidR="00EC74B3" w:rsidRDefault="00EC74B3">
      <w:pPr>
        <w:spacing w:line="360" w:lineRule="auto"/>
        <w:jc w:val="both"/>
        <w:rPr>
          <w:color w:val="000000"/>
        </w:rPr>
      </w:pPr>
      <w:r>
        <w:rPr>
          <w:color w:val="000000"/>
        </w:rPr>
        <w:tab/>
        <w:t>In my/our opinion and to the best of my/our information and according to explanation given to me/us, the assessee has properly maintained the information &amp; documents prescribed in rule ________________ of I.T. Rules, 1962 and the particulars given in the Form No. ___________ above are true &amp; correct.</w:t>
      </w:r>
    </w:p>
    <w:p w:rsidR="00EC74B3" w:rsidRDefault="00EC74B3">
      <w:pPr>
        <w:pStyle w:val="Heading1"/>
        <w:spacing w:line="360" w:lineRule="auto"/>
        <w:jc w:val="both"/>
        <w:rPr>
          <w:rFonts w:ascii="Times New Roman" w:hAnsi="Times New Roman" w:cs="Times New Roman"/>
          <w:b w:val="0"/>
          <w:bCs w:val="0"/>
        </w:rPr>
      </w:pPr>
      <w:r>
        <w:rPr>
          <w:rFonts w:ascii="Times New Roman" w:hAnsi="Times New Roman" w:cs="Times New Roman"/>
          <w:b w:val="0"/>
          <w:bCs w:val="0"/>
        </w:rPr>
        <w:t>Place</w:t>
      </w:r>
    </w:p>
    <w:p w:rsidR="00EC74B3" w:rsidRDefault="00EC74B3">
      <w:pPr>
        <w:spacing w:line="360" w:lineRule="auto"/>
        <w:jc w:val="both"/>
        <w:rPr>
          <w:color w:val="000000"/>
        </w:rPr>
      </w:pPr>
      <w:r>
        <w:rPr>
          <w:color w:val="000000"/>
        </w:rPr>
        <w:t>Date</w:t>
      </w:r>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Signed</w:t>
      </w:r>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Accountant :</w:t>
      </w:r>
      <w:proofErr w:type="gramEnd"/>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Name :</w:t>
      </w:r>
      <w:proofErr w:type="gramEnd"/>
    </w:p>
    <w:p w:rsidR="00EC74B3" w:rsidRDefault="00EC74B3">
      <w:pPr>
        <w:spacing w:line="36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Address:</w:t>
      </w:r>
    </w:p>
    <w:p w:rsidR="00EC74B3" w:rsidRDefault="00EC74B3">
      <w:pPr>
        <w:spacing w:line="360" w:lineRule="auto"/>
        <w:jc w:val="both"/>
        <w:rPr>
          <w:color w:val="000000"/>
        </w:rPr>
      </w:pP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lang w:val="en-GB"/>
        </w:rPr>
      </w:pP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lang w:val="en-GB"/>
        </w:rPr>
      </w:pPr>
      <w:r>
        <w:rPr>
          <w:rFonts w:ascii="Times New Roman" w:hAnsi="Times New Roman" w:cs="Times New Roman"/>
          <w:lang w:val="en-GB"/>
        </w:rPr>
        <w:t>(</w:t>
      </w:r>
      <w:proofErr w:type="gramStart"/>
      <w:r>
        <w:rPr>
          <w:rFonts w:ascii="Times New Roman" w:hAnsi="Times New Roman" w:cs="Times New Roman"/>
          <w:lang w:val="en-GB"/>
        </w:rPr>
        <w:t>C )</w:t>
      </w:r>
      <w:proofErr w:type="gramEnd"/>
      <w:r>
        <w:rPr>
          <w:rFonts w:ascii="Times New Roman" w:hAnsi="Times New Roman" w:cs="Times New Roman"/>
          <w:lang w:val="en-GB"/>
        </w:rPr>
        <w:t>Changes recommended in Administrative Set-up.</w:t>
      </w: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lastRenderedPageBreak/>
        <w:t xml:space="preserve">The Group is of the view that for effective administration of transfer pricing regulations, there should be a specialised organisation in the Department. This may be headed by a senior officer of the Indian Revenue Service, namely, Director General.  He may be assisted by four Directors, three posted in Delhi and one in Mumbai. The Director General may be designated as Competent Authority for the purposes of Mutual Agreement </w:t>
      </w:r>
      <w:proofErr w:type="gramStart"/>
      <w:r>
        <w:rPr>
          <w:rFonts w:ascii="Times New Roman" w:hAnsi="Times New Roman" w:cs="Times New Roman"/>
          <w:b w:val="0"/>
          <w:bCs w:val="0"/>
          <w:lang w:val="en-GB"/>
        </w:rPr>
        <w:t>Procedure  (</w:t>
      </w:r>
      <w:proofErr w:type="gramEnd"/>
      <w:r>
        <w:rPr>
          <w:rFonts w:ascii="Times New Roman" w:hAnsi="Times New Roman" w:cs="Times New Roman"/>
          <w:b w:val="0"/>
          <w:bCs w:val="0"/>
          <w:lang w:val="en-GB"/>
        </w:rPr>
        <w:t xml:space="preserve">MAP) under Agreements For Avoidance of Double Taxation. One of the Directors in Delhi may be assigned the job of assisting the Director General in the MAP proceedings. The second Directorate may monitor transfer pricing cases of the Northern region, while the third Director may look after all other matters of non-resident cases of the Northern region. The Director in Mumbai would look after transfer pricing and other cases of non-residents of the Southern region. </w:t>
      </w:r>
      <w:proofErr w:type="gramStart"/>
      <w:r>
        <w:rPr>
          <w:rFonts w:ascii="Times New Roman" w:hAnsi="Times New Roman" w:cs="Times New Roman"/>
          <w:b w:val="0"/>
          <w:bCs w:val="0"/>
          <w:lang w:val="en-GB"/>
        </w:rPr>
        <w:t>regulations</w:t>
      </w:r>
      <w:proofErr w:type="gramEnd"/>
      <w:r>
        <w:rPr>
          <w:rFonts w:ascii="Times New Roman" w:hAnsi="Times New Roman" w:cs="Times New Roman"/>
          <w:b w:val="0"/>
          <w:bCs w:val="0"/>
          <w:lang w:val="en-GB"/>
        </w:rPr>
        <w:t xml:space="preserve"> and also deal with other issues related to international taxation.  Each Directorate may consist of two Addl. Directors supported by Deputy/Assistant Directors and other staff.  So far as, monitoring of cases of transfer pricing is concerned, it may consists of the following activites;</w:t>
      </w:r>
    </w:p>
    <w:p w:rsidR="00EC74B3" w:rsidRDefault="00EC74B3" w:rsidP="005077F7">
      <w:pPr>
        <w:pStyle w:val="BodyText2"/>
        <w:numPr>
          <w:ilvl w:val="0"/>
          <w:numId w:val="52"/>
        </w:numPr>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Calling for information in cases of transfer pricing. This would help in build-up a data base.</w:t>
      </w:r>
    </w:p>
    <w:p w:rsidR="00EC74B3" w:rsidRDefault="00EC74B3" w:rsidP="005077F7">
      <w:pPr>
        <w:pStyle w:val="BodyText2"/>
        <w:numPr>
          <w:ilvl w:val="0"/>
          <w:numId w:val="52"/>
        </w:numPr>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Selecting big cases for monitoring of transfer pricing regulations.  </w:t>
      </w:r>
    </w:p>
    <w:p w:rsidR="00EC74B3" w:rsidRDefault="00EC74B3" w:rsidP="005077F7">
      <w:pPr>
        <w:pStyle w:val="BodyText2"/>
        <w:numPr>
          <w:ilvl w:val="0"/>
          <w:numId w:val="52"/>
        </w:numPr>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Providing </w:t>
      </w:r>
      <w:proofErr w:type="gramStart"/>
      <w:r>
        <w:rPr>
          <w:rFonts w:ascii="Times New Roman" w:hAnsi="Times New Roman" w:cs="Times New Roman"/>
          <w:b w:val="0"/>
          <w:bCs w:val="0"/>
          <w:lang w:val="en-GB"/>
        </w:rPr>
        <w:t>advise</w:t>
      </w:r>
      <w:proofErr w:type="gramEnd"/>
      <w:r>
        <w:rPr>
          <w:rFonts w:ascii="Times New Roman" w:hAnsi="Times New Roman" w:cs="Times New Roman"/>
          <w:b w:val="0"/>
          <w:bCs w:val="0"/>
          <w:lang w:val="en-GB"/>
        </w:rPr>
        <w:t xml:space="preserve"> to Assessing Officers.</w:t>
      </w:r>
    </w:p>
    <w:p w:rsidR="00EC74B3" w:rsidRDefault="00EC74B3" w:rsidP="005077F7">
      <w:pPr>
        <w:pStyle w:val="BodyText2"/>
        <w:numPr>
          <w:ilvl w:val="0"/>
          <w:numId w:val="52"/>
        </w:numPr>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Sending suggestions to the board for amending law and for issuing necessary circulars/instructions for the implementation of transfer pricing regulations.  </w:t>
      </w: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Since the subject of transfer pricing is new but very important, it is recommended that posting in the Directorate of International Taxation should be for a minimum tenure of three years so that the officers may be able to gain adequate knowledge and experience in this field and transform the same into practice. These officers should be imparted sufficient training and exposure inside and outside the country to keep them up-to-date in this emerging field of taxation.</w:t>
      </w: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The assessment of cases involving non-residents should be assigned to Deputy/Assistant Commissioners of Income Tax, irrespective of income.</w:t>
      </w: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lang w:val="en-GB"/>
        </w:rPr>
      </w:pPr>
      <w:r>
        <w:rPr>
          <w:rFonts w:ascii="Times New Roman" w:hAnsi="Times New Roman" w:cs="Times New Roman"/>
          <w:lang w:val="en-GB"/>
        </w:rPr>
        <w:t xml:space="preserve">Arbitration </w:t>
      </w:r>
    </w:p>
    <w:p w:rsidR="00EC74B3" w:rsidRDefault="00EC74B3">
      <w:pPr>
        <w:pStyle w:val="BodyText2"/>
        <w:spacing w:line="360" w:lineRule="auto"/>
        <w:jc w:val="both"/>
        <w:rPr>
          <w:rFonts w:ascii="Times New Roman" w:hAnsi="Times New Roman" w:cs="Times New Roman"/>
          <w:b w:val="0"/>
          <w:bCs w:val="0"/>
          <w:lang w:val="en-GB"/>
        </w:rPr>
      </w:pPr>
      <w:r>
        <w:rPr>
          <w:rFonts w:ascii="Times New Roman" w:hAnsi="Times New Roman" w:cs="Times New Roman"/>
          <w:b w:val="0"/>
          <w:bCs w:val="0"/>
          <w:lang w:val="en-GB"/>
        </w:rPr>
        <w:t xml:space="preserve">This study shows that some countries have also adopted the concept of arbitration in matters of transfer pricing, particularly, where under mutual agreement procedure, the issues are not included.  The Group is of the view that the scheme of arbitration may </w:t>
      </w:r>
      <w:r>
        <w:rPr>
          <w:rFonts w:ascii="Times New Roman" w:hAnsi="Times New Roman" w:cs="Times New Roman"/>
          <w:b w:val="0"/>
          <w:bCs w:val="0"/>
          <w:lang w:val="en-GB"/>
        </w:rPr>
        <w:lastRenderedPageBreak/>
        <w:t xml:space="preserve">be introduced in India. This would achieve twine objectives – expedite resolution of disputes and reduce cost of litigation, both for taxpayers and tax the Department. </w:t>
      </w:r>
    </w:p>
    <w:p w:rsidR="00EC74B3" w:rsidRDefault="00EC74B3">
      <w:pPr>
        <w:pStyle w:val="BodyText2"/>
        <w:tabs>
          <w:tab w:val="clear" w:pos="1260"/>
          <w:tab w:val="clear" w:pos="1728"/>
        </w:tabs>
        <w:autoSpaceDE/>
        <w:autoSpaceDN/>
        <w:adjustRightInd/>
        <w:spacing w:line="360" w:lineRule="auto"/>
        <w:jc w:val="both"/>
        <w:rPr>
          <w:rFonts w:ascii="Times New Roman" w:hAnsi="Times New Roman" w:cs="Times New Roman"/>
          <w:b w:val="0"/>
          <w:bCs w:val="0"/>
          <w:lang w:val="en-GB"/>
        </w:rPr>
      </w:pPr>
    </w:p>
    <w:p w:rsidR="00EC74B3" w:rsidRDefault="00EC74B3">
      <w:pPr>
        <w:spacing w:line="360" w:lineRule="auto"/>
        <w:jc w:val="both"/>
      </w:pPr>
    </w:p>
    <w:sectPr w:rsidR="00EC74B3">
      <w:pgSz w:w="11909" w:h="16834"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4B3" w:rsidRDefault="00EC74B3">
      <w:r>
        <w:separator/>
      </w:r>
    </w:p>
  </w:endnote>
  <w:endnote w:type="continuationSeparator" w:id="1">
    <w:p w:rsidR="00EC74B3" w:rsidRDefault="00EC74B3"/>
  </w:endnote>
  <w:endnote w:type="continuationNotice" w:id="2">
    <w:p w:rsidR="00EC74B3" w:rsidRDefault="00EC74B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4B3" w:rsidRDefault="00EC7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077F7">
        <w:rPr>
          <w:rStyle w:val="PageNumber"/>
        </w:rPr>
        <w:fldChar w:fldCharType="separate"/>
      </w:r>
      <w:r w:rsidR="005077F7">
        <w:rPr>
          <w:rStyle w:val="PageNumber"/>
          <w:noProof/>
        </w:rPr>
        <w:t>13</w:t>
      </w:r>
      <w:r>
        <w:rPr>
          <w:rStyle w:val="PageNumber"/>
        </w:rPr>
        <w:fldChar w:fldCharType="end"/>
      </w:r>
    </w:p>
    <w:p w:rsidR="00EC74B3" w:rsidRDefault="00EC74B3">
      <w:pPr>
        <w:pStyle w:val="Header"/>
      </w:pPr>
    </w:p>
    <w:p w:rsidR="00EC74B3" w:rsidRDefault="00EC74B3"/>
    <w:p w:rsidR="00EC74B3" w:rsidRDefault="00EC74B3">
      <w:pPr>
        <w:pStyle w:val="Header"/>
        <w:framePr w:wrap="around" w:vAnchor="text" w:hAnchor="margin" w:xAlign="center" w:y="1"/>
        <w:rPr>
          <w:rStyle w:val="PageNumber"/>
        </w:rPr>
      </w:pPr>
    </w:p>
    <w:p w:rsidR="00EC74B3" w:rsidRDefault="00EC74B3">
      <w:pPr>
        <w:pStyle w:val="Header"/>
        <w:framePr w:wrap="around" w:vAnchor="text" w:hAnchor="margin" w:xAlign="center" w:y="1"/>
        <w:rPr>
          <w:rStyle w:val="PageNumber"/>
        </w:rPr>
      </w:pPr>
    </w:p>
    <w:p w:rsidR="00EC74B3" w:rsidRDefault="00EC74B3">
      <w:pPr>
        <w:pStyle w:val="Header"/>
        <w:rPr>
          <w:sz w:val="20"/>
        </w:rPr>
      </w:pPr>
      <w:r>
        <w:rPr>
          <w:sz w:val="20"/>
        </w:rPr>
        <w:t xml:space="preserve">Expert Group on Transfer Pricing                                   </w:t>
      </w:r>
      <w:r>
        <w:rPr>
          <w:rStyle w:val="PageNumber"/>
        </w:rPr>
        <w:fldChar w:fldCharType="begin"/>
      </w:r>
      <w:r>
        <w:rPr>
          <w:rStyle w:val="PageNumber"/>
        </w:rPr>
        <w:instrText xml:space="preserve"> PAGE </w:instrText>
      </w:r>
      <w:r>
        <w:rPr>
          <w:rStyle w:val="PageNumber"/>
        </w:rPr>
        <w:fldChar w:fldCharType="separate"/>
      </w:r>
      <w:r w:rsidR="005077F7">
        <w:rPr>
          <w:rStyle w:val="PageNumber"/>
          <w:noProof/>
        </w:rPr>
        <w:t>13</w:t>
      </w:r>
      <w:r>
        <w:rPr>
          <w:rStyle w:val="PageNumber"/>
        </w:rPr>
        <w:fldChar w:fldCharType="end"/>
      </w:r>
      <w:r>
        <w:rPr>
          <w:sz w:val="20"/>
        </w:rPr>
        <w:t xml:space="preserve">                                                                           Draft</w:t>
      </w:r>
    </w:p>
    <w:p w:rsidR="00EC74B3" w:rsidRDefault="00EC74B3"/>
    <w:p w:rsidR="00EC74B3" w:rsidRDefault="00EC7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7F7">
        <w:rPr>
          <w:rStyle w:val="PageNumber"/>
          <w:noProof/>
        </w:rPr>
        <w:t>13</w:t>
      </w:r>
      <w:r>
        <w:rPr>
          <w:rStyle w:val="PageNumber"/>
        </w:rPr>
        <w:fldChar w:fldCharType="end"/>
      </w:r>
    </w:p>
    <w:p w:rsidR="00EC74B3" w:rsidRDefault="00EC74B3">
      <w:pPr>
        <w:pStyle w:val="Footer"/>
      </w:pPr>
    </w:p>
  </w:footnote>
  <w:footnote w:type="continuationSeparator" w:id="1">
    <w:p w:rsidR="00EC74B3" w:rsidRDefault="00EC74B3">
      <w:r>
        <w:continuationSeparator/>
      </w:r>
    </w:p>
  </w:footnote>
  <w:footnote w:id="2">
    <w:p w:rsidR="00EC74B3" w:rsidRDefault="00EC74B3">
      <w:pPr>
        <w:pStyle w:val="FootnoteText"/>
      </w:pPr>
      <w:r>
        <w:rPr>
          <w:rStyle w:val="FootnoteReference"/>
        </w:rPr>
        <w:footnoteRef/>
      </w:r>
      <w:r>
        <w:t xml:space="preserve"> Section 92: "Where business is carries on between a resident and a non-resident and it appears to the Assessing Officer that, owing to the close connection between them, the course of business is so arranged that the business transacted between them produces to the resident either no profits or less than ordinary profits which might be expected to arise in that business, the Assessing Officer shall determine the amount of profits which may reasonably be deemed to have been derived therefrom and include such amount in the total income of the resident."</w:t>
      </w:r>
    </w:p>
    <w:p w:rsidR="00EC74B3" w:rsidRDefault="00EC74B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96F"/>
    <w:multiLevelType w:val="singleLevel"/>
    <w:tmpl w:val="5D3AD9D8"/>
    <w:lvl w:ilvl="0">
      <w:start w:val="1"/>
      <w:numFmt w:val="decimal"/>
      <w:lvlText w:val="%1."/>
      <w:lvlJc w:val="left"/>
      <w:pPr>
        <w:tabs>
          <w:tab w:val="num" w:pos="1152"/>
        </w:tabs>
        <w:ind w:left="1152" w:hanging="432"/>
      </w:pPr>
      <w:rPr>
        <w:rFonts w:hint="default"/>
      </w:rPr>
    </w:lvl>
  </w:abstractNum>
  <w:abstractNum w:abstractNumId="1">
    <w:nsid w:val="0564763B"/>
    <w:multiLevelType w:val="singleLevel"/>
    <w:tmpl w:val="EAB4971E"/>
    <w:lvl w:ilvl="0">
      <w:start w:val="1"/>
      <w:numFmt w:val="upperLetter"/>
      <w:lvlText w:val="(%1)"/>
      <w:lvlJc w:val="left"/>
      <w:pPr>
        <w:tabs>
          <w:tab w:val="num" w:pos="3255"/>
        </w:tabs>
        <w:ind w:left="3255" w:hanging="375"/>
      </w:pPr>
      <w:rPr>
        <w:rFonts w:hint="default"/>
      </w:rPr>
    </w:lvl>
  </w:abstractNum>
  <w:abstractNum w:abstractNumId="2">
    <w:nsid w:val="06C27F73"/>
    <w:multiLevelType w:val="hybridMultilevel"/>
    <w:tmpl w:val="65E21E9A"/>
    <w:lvl w:ilvl="0" w:tplc="04987D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EA3EAD"/>
    <w:multiLevelType w:val="hybridMultilevel"/>
    <w:tmpl w:val="69264A38"/>
    <w:lvl w:ilvl="0" w:tplc="55AE72E4">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EE4C09"/>
    <w:multiLevelType w:val="singleLevel"/>
    <w:tmpl w:val="C9B81A6C"/>
    <w:lvl w:ilvl="0">
      <w:start w:val="1"/>
      <w:numFmt w:val="lowerRoman"/>
      <w:lvlText w:val="(%1)"/>
      <w:lvlJc w:val="left"/>
      <w:pPr>
        <w:tabs>
          <w:tab w:val="num" w:pos="720"/>
        </w:tabs>
        <w:ind w:left="720" w:hanging="720"/>
      </w:pPr>
      <w:rPr>
        <w:rFonts w:hint="default"/>
      </w:rPr>
    </w:lvl>
  </w:abstractNum>
  <w:abstractNum w:abstractNumId="5">
    <w:nsid w:val="0C4B5344"/>
    <w:multiLevelType w:val="singleLevel"/>
    <w:tmpl w:val="4E9AC490"/>
    <w:lvl w:ilvl="0">
      <w:start w:val="1"/>
      <w:numFmt w:val="decimal"/>
      <w:lvlText w:val="%1)"/>
      <w:lvlJc w:val="left"/>
      <w:pPr>
        <w:tabs>
          <w:tab w:val="num" w:pos="936"/>
        </w:tabs>
        <w:ind w:left="936" w:hanging="360"/>
      </w:pPr>
    </w:lvl>
  </w:abstractNum>
  <w:abstractNum w:abstractNumId="6">
    <w:nsid w:val="0D1464B4"/>
    <w:multiLevelType w:val="singleLevel"/>
    <w:tmpl w:val="976A6CDE"/>
    <w:lvl w:ilvl="0">
      <w:start w:val="1"/>
      <w:numFmt w:val="lowerRoman"/>
      <w:lvlText w:val="%1."/>
      <w:lvlJc w:val="left"/>
      <w:pPr>
        <w:tabs>
          <w:tab w:val="num" w:pos="1152"/>
        </w:tabs>
        <w:ind w:left="864" w:hanging="432"/>
      </w:pPr>
      <w:rPr>
        <w:b w:val="0"/>
        <w:i w:val="0"/>
      </w:rPr>
    </w:lvl>
  </w:abstractNum>
  <w:abstractNum w:abstractNumId="7">
    <w:nsid w:val="0D6D4F18"/>
    <w:multiLevelType w:val="singleLevel"/>
    <w:tmpl w:val="286E4C58"/>
    <w:lvl w:ilvl="0">
      <w:start w:val="1"/>
      <w:numFmt w:val="lowerLetter"/>
      <w:lvlText w:val="(%1)"/>
      <w:lvlJc w:val="left"/>
      <w:pPr>
        <w:tabs>
          <w:tab w:val="num" w:pos="936"/>
        </w:tabs>
        <w:ind w:left="936" w:hanging="360"/>
      </w:pPr>
      <w:rPr>
        <w:b w:val="0"/>
        <w:i w:val="0"/>
      </w:rPr>
    </w:lvl>
  </w:abstractNum>
  <w:abstractNum w:abstractNumId="8">
    <w:nsid w:val="10B36103"/>
    <w:multiLevelType w:val="hybridMultilevel"/>
    <w:tmpl w:val="D0EC946A"/>
    <w:lvl w:ilvl="0" w:tplc="892E4658">
      <w:start w:val="1"/>
      <w:numFmt w:val="lowerRoman"/>
      <w:lvlText w:val="(%1)"/>
      <w:lvlJc w:val="right"/>
      <w:pPr>
        <w:tabs>
          <w:tab w:val="num" w:pos="1080"/>
        </w:tabs>
        <w:ind w:left="1080" w:hanging="360"/>
      </w:pPr>
      <w:rPr>
        <w:rFonts w:hint="default"/>
      </w:rPr>
    </w:lvl>
    <w:lvl w:ilvl="1" w:tplc="33A47BD4">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F056C"/>
    <w:multiLevelType w:val="multilevel"/>
    <w:tmpl w:val="5A1EB272"/>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78463BD"/>
    <w:multiLevelType w:val="singleLevel"/>
    <w:tmpl w:val="500A1C42"/>
    <w:lvl w:ilvl="0">
      <w:start w:val="1"/>
      <w:numFmt w:val="lowerRoman"/>
      <w:lvlText w:val="(%1)"/>
      <w:lvlJc w:val="center"/>
      <w:pPr>
        <w:tabs>
          <w:tab w:val="num" w:pos="936"/>
        </w:tabs>
        <w:ind w:left="936" w:hanging="360"/>
      </w:pPr>
      <w:rPr>
        <w:rFonts w:hint="default"/>
      </w:rPr>
    </w:lvl>
  </w:abstractNum>
  <w:abstractNum w:abstractNumId="11">
    <w:nsid w:val="17891D05"/>
    <w:multiLevelType w:val="multilevel"/>
    <w:tmpl w:val="25A8288C"/>
    <w:lvl w:ilvl="0">
      <w:start w:val="1"/>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1D8A6F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25253FC"/>
    <w:multiLevelType w:val="singleLevel"/>
    <w:tmpl w:val="7F3E087A"/>
    <w:lvl w:ilvl="0">
      <w:start w:val="1"/>
      <w:numFmt w:val="decimal"/>
      <w:lvlText w:val="(%1)"/>
      <w:lvlJc w:val="left"/>
      <w:pPr>
        <w:tabs>
          <w:tab w:val="num" w:pos="405"/>
        </w:tabs>
        <w:ind w:left="405" w:hanging="405"/>
      </w:pPr>
      <w:rPr>
        <w:rFonts w:hint="default"/>
        <w:u w:val="none"/>
      </w:rPr>
    </w:lvl>
  </w:abstractNum>
  <w:abstractNum w:abstractNumId="14">
    <w:nsid w:val="22EC038F"/>
    <w:multiLevelType w:val="hybridMultilevel"/>
    <w:tmpl w:val="FF200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2713A5"/>
    <w:multiLevelType w:val="singleLevel"/>
    <w:tmpl w:val="35A8EDC6"/>
    <w:lvl w:ilvl="0">
      <w:start w:val="1"/>
      <w:numFmt w:val="decimal"/>
      <w:lvlText w:val="(%1)"/>
      <w:lvlJc w:val="left"/>
      <w:pPr>
        <w:tabs>
          <w:tab w:val="num" w:pos="360"/>
        </w:tabs>
        <w:ind w:left="360" w:hanging="360"/>
      </w:pPr>
      <w:rPr>
        <w:rFonts w:hint="default"/>
      </w:rPr>
    </w:lvl>
  </w:abstractNum>
  <w:abstractNum w:abstractNumId="16">
    <w:nsid w:val="2A996D76"/>
    <w:multiLevelType w:val="singleLevel"/>
    <w:tmpl w:val="5D249206"/>
    <w:lvl w:ilvl="0">
      <w:numFmt w:val="decimal"/>
      <w:lvlText w:val=""/>
      <w:lvlJc w:val="left"/>
    </w:lvl>
  </w:abstractNum>
  <w:abstractNum w:abstractNumId="17">
    <w:nsid w:val="2EED63F3"/>
    <w:multiLevelType w:val="hybridMultilevel"/>
    <w:tmpl w:val="E632B79C"/>
    <w:lvl w:ilvl="0" w:tplc="3EA4735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
    <w:nsid w:val="31984F95"/>
    <w:multiLevelType w:val="hybridMultilevel"/>
    <w:tmpl w:val="87320BD2"/>
    <w:lvl w:ilvl="0" w:tplc="9660608C">
      <w:numFmt w:val="decimal"/>
      <w:lvlText w:val=""/>
      <w:lvlJc w:val="left"/>
    </w:lvl>
    <w:lvl w:ilvl="1" w:tplc="826837A8">
      <w:numFmt w:val="decimal"/>
      <w:lvlText w:val=""/>
      <w:lvlJc w:val="left"/>
    </w:lvl>
    <w:lvl w:ilvl="2" w:tplc="EB78089E">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nsid w:val="3358717B"/>
    <w:multiLevelType w:val="singleLevel"/>
    <w:tmpl w:val="0409000F"/>
    <w:lvl w:ilvl="0">
      <w:numFmt w:val="decimal"/>
      <w:lvlText w:val=""/>
      <w:lvlJc w:val="left"/>
    </w:lvl>
  </w:abstractNum>
  <w:abstractNum w:abstractNumId="20">
    <w:nsid w:val="383E6854"/>
    <w:multiLevelType w:val="multilevel"/>
    <w:tmpl w:val="FB5452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FB4ADF"/>
    <w:multiLevelType w:val="multilevel"/>
    <w:tmpl w:val="6AEEA7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D32AB5"/>
    <w:multiLevelType w:val="hybridMultilevel"/>
    <w:tmpl w:val="25DCC792"/>
    <w:lvl w:ilvl="0" w:tplc="9D46198C">
      <w:numFmt w:val="decimal"/>
      <w:lvlText w:val=""/>
      <w:lvlJc w:val="left"/>
    </w:lvl>
    <w:lvl w:ilvl="1" w:tplc="9C8059CC">
      <w:numFmt w:val="decimal"/>
      <w:lvlText w:val=""/>
      <w:lvlJc w:val="left"/>
    </w:lvl>
    <w:lvl w:ilvl="2" w:tplc="0409001B">
      <w:numFmt w:val="decimal"/>
      <w:lvlText w:val=""/>
      <w:lvlJc w:val="left"/>
    </w:lvl>
    <w:lvl w:ilvl="3" w:tplc="CBAC3DDC">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nsid w:val="3CFA0CA5"/>
    <w:multiLevelType w:val="hybridMultilevel"/>
    <w:tmpl w:val="DFD0C36E"/>
    <w:lvl w:ilvl="0" w:tplc="1E7E431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
    <w:nsid w:val="41186FBA"/>
    <w:multiLevelType w:val="hybridMultilevel"/>
    <w:tmpl w:val="76842866"/>
    <w:lvl w:ilvl="0" w:tplc="CDC227C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
    <w:nsid w:val="414C3111"/>
    <w:multiLevelType w:val="hybridMultilevel"/>
    <w:tmpl w:val="49DCF3A2"/>
    <w:lvl w:ilvl="0" w:tplc="7FA42F8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
    <w:nsid w:val="417E38AF"/>
    <w:multiLevelType w:val="singleLevel"/>
    <w:tmpl w:val="7E526F62"/>
    <w:lvl w:ilvl="0">
      <w:numFmt w:val="decimal"/>
      <w:lvlText w:val=""/>
      <w:lvlJc w:val="left"/>
    </w:lvl>
  </w:abstractNum>
  <w:abstractNum w:abstractNumId="27">
    <w:nsid w:val="44437646"/>
    <w:multiLevelType w:val="singleLevel"/>
    <w:tmpl w:val="C7BE51C6"/>
    <w:lvl w:ilvl="0">
      <w:numFmt w:val="decimal"/>
      <w:lvlText w:val=""/>
      <w:lvlJc w:val="left"/>
    </w:lvl>
  </w:abstractNum>
  <w:abstractNum w:abstractNumId="28">
    <w:nsid w:val="496E4CD1"/>
    <w:multiLevelType w:val="hybridMultilevel"/>
    <w:tmpl w:val="574446E6"/>
    <w:lvl w:ilvl="0" w:tplc="ADD07ED4">
      <w:numFmt w:val="decimal"/>
      <w:lvlText w:val=""/>
      <w:lvlJc w:val="left"/>
    </w:lvl>
    <w:lvl w:ilvl="1" w:tplc="717E6CAA">
      <w:numFmt w:val="decimal"/>
      <w:lvlText w:val=""/>
      <w:lvlJc w:val="left"/>
    </w:lvl>
    <w:lvl w:ilvl="2" w:tplc="6E1EDF2E">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
    <w:nsid w:val="4A461982"/>
    <w:multiLevelType w:val="hybridMultilevel"/>
    <w:tmpl w:val="92D8025C"/>
    <w:lvl w:ilvl="0" w:tplc="F30CB83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
    <w:nsid w:val="4E031242"/>
    <w:multiLevelType w:val="multilevel"/>
    <w:tmpl w:val="6980DB7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EF47A8"/>
    <w:multiLevelType w:val="singleLevel"/>
    <w:tmpl w:val="8CBEC7AA"/>
    <w:lvl w:ilvl="0">
      <w:numFmt w:val="decimal"/>
      <w:lvlText w:val=""/>
      <w:lvlJc w:val="left"/>
    </w:lvl>
  </w:abstractNum>
  <w:abstractNum w:abstractNumId="32">
    <w:nsid w:val="51A9078F"/>
    <w:multiLevelType w:val="singleLevel"/>
    <w:tmpl w:val="2F44A458"/>
    <w:lvl w:ilvl="0">
      <w:numFmt w:val="decimal"/>
      <w:lvlText w:val=""/>
      <w:lvlJc w:val="left"/>
    </w:lvl>
  </w:abstractNum>
  <w:abstractNum w:abstractNumId="33">
    <w:nsid w:val="52281B2A"/>
    <w:multiLevelType w:val="singleLevel"/>
    <w:tmpl w:val="A2EE0098"/>
    <w:lvl w:ilvl="0">
      <w:numFmt w:val="decimal"/>
      <w:lvlText w:val=""/>
      <w:lvlJc w:val="left"/>
    </w:lvl>
  </w:abstractNum>
  <w:abstractNum w:abstractNumId="34">
    <w:nsid w:val="573003FE"/>
    <w:multiLevelType w:val="singleLevel"/>
    <w:tmpl w:val="04090001"/>
    <w:lvl w:ilvl="0">
      <w:numFmt w:val="decimal"/>
      <w:lvlText w:val=""/>
      <w:lvlJc w:val="left"/>
    </w:lvl>
  </w:abstractNum>
  <w:abstractNum w:abstractNumId="35">
    <w:nsid w:val="5763381D"/>
    <w:multiLevelType w:val="hybridMultilevel"/>
    <w:tmpl w:val="740093FE"/>
    <w:lvl w:ilvl="0" w:tplc="F3A2105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nsid w:val="599877DC"/>
    <w:multiLevelType w:val="singleLevel"/>
    <w:tmpl w:val="34CCFDC8"/>
    <w:lvl w:ilvl="0">
      <w:numFmt w:val="decimal"/>
      <w:lvlText w:val=""/>
      <w:lvlJc w:val="left"/>
    </w:lvl>
  </w:abstractNum>
  <w:abstractNum w:abstractNumId="37">
    <w:nsid w:val="599B6308"/>
    <w:multiLevelType w:val="singleLevel"/>
    <w:tmpl w:val="04090001"/>
    <w:lvl w:ilvl="0">
      <w:numFmt w:val="decimal"/>
      <w:lvlText w:val=""/>
      <w:lvlJc w:val="left"/>
    </w:lvl>
  </w:abstractNum>
  <w:abstractNum w:abstractNumId="38">
    <w:nsid w:val="5CB60F19"/>
    <w:multiLevelType w:val="singleLevel"/>
    <w:tmpl w:val="BED6C5FE"/>
    <w:lvl w:ilvl="0">
      <w:numFmt w:val="decimal"/>
      <w:lvlText w:val=""/>
      <w:lvlJc w:val="left"/>
    </w:lvl>
  </w:abstractNum>
  <w:abstractNum w:abstractNumId="39">
    <w:nsid w:val="5D06758A"/>
    <w:multiLevelType w:val="hybridMultilevel"/>
    <w:tmpl w:val="099ABE42"/>
    <w:lvl w:ilvl="0" w:tplc="A4D4DDFC">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0">
    <w:nsid w:val="5E0A0265"/>
    <w:multiLevelType w:val="singleLevel"/>
    <w:tmpl w:val="1B1A3C20"/>
    <w:lvl w:ilvl="0">
      <w:numFmt w:val="decimal"/>
      <w:lvlText w:val=""/>
      <w:lvlJc w:val="left"/>
    </w:lvl>
  </w:abstractNum>
  <w:abstractNum w:abstractNumId="41">
    <w:nsid w:val="60235CFB"/>
    <w:multiLevelType w:val="singleLevel"/>
    <w:tmpl w:val="F30CB838"/>
    <w:lvl w:ilvl="0">
      <w:numFmt w:val="decimal"/>
      <w:lvlText w:val=""/>
      <w:lvlJc w:val="left"/>
    </w:lvl>
  </w:abstractNum>
  <w:abstractNum w:abstractNumId="42">
    <w:nsid w:val="60612165"/>
    <w:multiLevelType w:val="singleLevel"/>
    <w:tmpl w:val="9110A6FC"/>
    <w:lvl w:ilvl="0">
      <w:numFmt w:val="decimal"/>
      <w:lvlText w:val=""/>
      <w:lvlJc w:val="left"/>
    </w:lvl>
  </w:abstractNum>
  <w:abstractNum w:abstractNumId="43">
    <w:nsid w:val="67B3059E"/>
    <w:multiLevelType w:val="singleLevel"/>
    <w:tmpl w:val="04090001"/>
    <w:lvl w:ilvl="0">
      <w:numFmt w:val="decimal"/>
      <w:lvlText w:val=""/>
      <w:lvlJc w:val="left"/>
    </w:lvl>
  </w:abstractNum>
  <w:abstractNum w:abstractNumId="44">
    <w:nsid w:val="680A04A3"/>
    <w:multiLevelType w:val="singleLevel"/>
    <w:tmpl w:val="F8E2C14A"/>
    <w:lvl w:ilvl="0">
      <w:numFmt w:val="decimal"/>
      <w:lvlText w:val=""/>
      <w:lvlJc w:val="left"/>
    </w:lvl>
  </w:abstractNum>
  <w:abstractNum w:abstractNumId="45">
    <w:nsid w:val="6B3946C8"/>
    <w:multiLevelType w:val="singleLevel"/>
    <w:tmpl w:val="35A8EDC6"/>
    <w:lvl w:ilvl="0">
      <w:numFmt w:val="decimal"/>
      <w:lvlText w:val=""/>
      <w:lvlJc w:val="left"/>
    </w:lvl>
  </w:abstractNum>
  <w:abstractNum w:abstractNumId="46">
    <w:nsid w:val="6C4D02BD"/>
    <w:multiLevelType w:val="singleLevel"/>
    <w:tmpl w:val="20EED26C"/>
    <w:lvl w:ilvl="0">
      <w:numFmt w:val="decimal"/>
      <w:lvlText w:val=""/>
      <w:lvlJc w:val="left"/>
    </w:lvl>
  </w:abstractNum>
  <w:abstractNum w:abstractNumId="47">
    <w:nsid w:val="6D2749AD"/>
    <w:multiLevelType w:val="multilevel"/>
    <w:tmpl w:val="D46CE918"/>
    <w:lvl w:ilvl="0">
      <w:numFmt w:val="decimal"/>
      <w:pStyle w:val="Heading8"/>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1120C5C"/>
    <w:multiLevelType w:val="singleLevel"/>
    <w:tmpl w:val="A2EE0098"/>
    <w:lvl w:ilvl="0">
      <w:numFmt w:val="decimal"/>
      <w:lvlText w:val=""/>
      <w:lvlJc w:val="left"/>
    </w:lvl>
  </w:abstractNum>
  <w:abstractNum w:abstractNumId="49">
    <w:nsid w:val="7522590B"/>
    <w:multiLevelType w:val="singleLevel"/>
    <w:tmpl w:val="04090001"/>
    <w:lvl w:ilvl="0">
      <w:numFmt w:val="decimal"/>
      <w:lvlText w:val=""/>
      <w:lvlJc w:val="left"/>
    </w:lvl>
  </w:abstractNum>
  <w:abstractNum w:abstractNumId="50">
    <w:nsid w:val="757D7C84"/>
    <w:multiLevelType w:val="singleLevel"/>
    <w:tmpl w:val="40F6B11E"/>
    <w:lvl w:ilvl="0">
      <w:numFmt w:val="decimal"/>
      <w:lvlText w:val=""/>
      <w:lvlJc w:val="left"/>
    </w:lvl>
  </w:abstractNum>
  <w:abstractNum w:abstractNumId="51">
    <w:nsid w:val="776D6BA0"/>
    <w:multiLevelType w:val="hybridMultilevel"/>
    <w:tmpl w:val="38C668D8"/>
    <w:lvl w:ilvl="0" w:tplc="A712E8C4">
      <w:numFmt w:val="decimal"/>
      <w:lvlText w:val=""/>
      <w:lvlJc w:val="left"/>
    </w:lvl>
    <w:lvl w:ilvl="1" w:tplc="94BC8156">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2">
    <w:nsid w:val="7B9250BD"/>
    <w:multiLevelType w:val="singleLevel"/>
    <w:tmpl w:val="71F8C0EA"/>
    <w:lvl w:ilvl="0">
      <w:numFmt w:val="decimal"/>
      <w:lvlText w:val=""/>
      <w:lvlJc w:val="left"/>
    </w:lvl>
  </w:abstractNum>
  <w:abstractNum w:abstractNumId="53">
    <w:nsid w:val="7CE12983"/>
    <w:multiLevelType w:val="singleLevel"/>
    <w:tmpl w:val="6818EAD6"/>
    <w:lvl w:ilvl="0">
      <w:numFmt w:val="decimal"/>
      <w:lvlText w:val=""/>
      <w:lvlJc w:val="left"/>
    </w:lvl>
  </w:abstractNum>
  <w:abstractNum w:abstractNumId="54">
    <w:nsid w:val="7EEC7B4D"/>
    <w:multiLevelType w:val="hybridMultilevel"/>
    <w:tmpl w:val="7CA8AB40"/>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5">
    <w:nsid w:val="7F900B40"/>
    <w:multiLevelType w:val="hybridMultilevel"/>
    <w:tmpl w:val="4C62AF5C"/>
    <w:lvl w:ilvl="0" w:tplc="5476CDF4">
      <w:numFmt w:val="decimal"/>
      <w:lvlText w:val=""/>
      <w:lvlJc w:val="left"/>
    </w:lvl>
    <w:lvl w:ilvl="1" w:tplc="039E28B0">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6">
    <w:nsid w:val="7FB77694"/>
    <w:multiLevelType w:val="singleLevel"/>
    <w:tmpl w:val="F182A6D0"/>
    <w:lvl w:ilvl="0">
      <w:numFmt w:val="decimal"/>
      <w:lvlText w:val=""/>
      <w:lvlJc w:val="left"/>
    </w:lvl>
  </w:abstractNum>
  <w:num w:numId="1">
    <w:abstractNumId w:val="51"/>
  </w:num>
  <w:num w:numId="2">
    <w:abstractNumId w:val="28"/>
  </w:num>
  <w:num w:numId="3">
    <w:abstractNumId w:val="24"/>
  </w:num>
  <w:num w:numId="4">
    <w:abstractNumId w:val="21"/>
  </w:num>
  <w:num w:numId="5">
    <w:abstractNumId w:val="20"/>
  </w:num>
  <w:num w:numId="6">
    <w:abstractNumId w:val="47"/>
  </w:num>
  <w:num w:numId="7">
    <w:abstractNumId w:val="13"/>
  </w:num>
  <w:num w:numId="8">
    <w:abstractNumId w:val="43"/>
  </w:num>
  <w:num w:numId="9">
    <w:abstractNumId w:val="12"/>
  </w:num>
  <w:num w:numId="10">
    <w:abstractNumId w:val="34"/>
  </w:num>
  <w:num w:numId="11">
    <w:abstractNumId w:val="37"/>
  </w:num>
  <w:num w:numId="12">
    <w:abstractNumId w:val="49"/>
  </w:num>
  <w:num w:numId="13">
    <w:abstractNumId w:val="53"/>
  </w:num>
  <w:num w:numId="14">
    <w:abstractNumId w:val="45"/>
  </w:num>
  <w:num w:numId="15">
    <w:abstractNumId w:val="15"/>
  </w:num>
  <w:num w:numId="16">
    <w:abstractNumId w:val="41"/>
  </w:num>
  <w:num w:numId="17">
    <w:abstractNumId w:val="50"/>
  </w:num>
  <w:num w:numId="18">
    <w:abstractNumId w:val="42"/>
  </w:num>
  <w:num w:numId="19">
    <w:abstractNumId w:val="38"/>
  </w:num>
  <w:num w:numId="20">
    <w:abstractNumId w:val="40"/>
  </w:num>
  <w:num w:numId="21">
    <w:abstractNumId w:val="1"/>
  </w:num>
  <w:num w:numId="22">
    <w:abstractNumId w:val="32"/>
  </w:num>
  <w:num w:numId="23">
    <w:abstractNumId w:val="10"/>
  </w:num>
  <w:num w:numId="24">
    <w:abstractNumId w:val="0"/>
  </w:num>
  <w:num w:numId="25">
    <w:abstractNumId w:val="6"/>
  </w:num>
  <w:num w:numId="26">
    <w:abstractNumId w:val="7"/>
  </w:num>
  <w:num w:numId="27">
    <w:abstractNumId w:val="3"/>
  </w:num>
  <w:num w:numId="28">
    <w:abstractNumId w:val="25"/>
  </w:num>
  <w:num w:numId="29">
    <w:abstractNumId w:val="39"/>
  </w:num>
  <w:num w:numId="30">
    <w:abstractNumId w:val="55"/>
  </w:num>
  <w:num w:numId="31">
    <w:abstractNumId w:val="44"/>
  </w:num>
  <w:num w:numId="32">
    <w:abstractNumId w:val="5"/>
  </w:num>
  <w:num w:numId="33">
    <w:abstractNumId w:val="31"/>
  </w:num>
  <w:num w:numId="34">
    <w:abstractNumId w:val="27"/>
  </w:num>
  <w:num w:numId="35">
    <w:abstractNumId w:val="30"/>
  </w:num>
  <w:num w:numId="36">
    <w:abstractNumId w:val="36"/>
  </w:num>
  <w:num w:numId="37">
    <w:abstractNumId w:val="16"/>
  </w:num>
  <w:num w:numId="38">
    <w:abstractNumId w:val="48"/>
  </w:num>
  <w:num w:numId="39">
    <w:abstractNumId w:val="33"/>
  </w:num>
  <w:num w:numId="40">
    <w:abstractNumId w:val="46"/>
  </w:num>
  <w:num w:numId="41">
    <w:abstractNumId w:val="56"/>
  </w:num>
  <w:num w:numId="42">
    <w:abstractNumId w:val="52"/>
  </w:num>
  <w:num w:numId="43">
    <w:abstractNumId w:val="26"/>
  </w:num>
  <w:num w:numId="44">
    <w:abstractNumId w:val="22"/>
  </w:num>
  <w:num w:numId="45">
    <w:abstractNumId w:val="4"/>
  </w:num>
  <w:num w:numId="46">
    <w:abstractNumId w:val="19"/>
  </w:num>
  <w:num w:numId="47">
    <w:abstractNumId w:val="14"/>
  </w:num>
  <w:num w:numId="48">
    <w:abstractNumId w:val="23"/>
  </w:num>
  <w:num w:numId="49">
    <w:abstractNumId w:val="18"/>
  </w:num>
  <w:num w:numId="50">
    <w:abstractNumId w:val="29"/>
  </w:num>
  <w:num w:numId="51">
    <w:abstractNumId w:val="54"/>
  </w:num>
  <w:num w:numId="52">
    <w:abstractNumId w:val="17"/>
  </w:num>
  <w:num w:numId="53">
    <w:abstractNumId w:val="8"/>
  </w:num>
  <w:num w:numId="54">
    <w:abstractNumId w:val="2"/>
  </w:num>
  <w:num w:numId="55">
    <w:abstractNumId w:val="11"/>
  </w:num>
  <w:num w:numId="56">
    <w:abstractNumId w:val="35"/>
  </w:num>
  <w:num w:numId="57">
    <w:abstractNumId w:val="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footnotePr>
    <w:footnote w:id="0"/>
    <w:footnote w:id="1"/>
  </w:footnotePr>
  <w:endnotePr>
    <w:endnote w:id="0"/>
    <w:endnote w:id="1"/>
    <w:endnote w:id="2"/>
  </w:endnotePr>
  <w:compat/>
  <w:rsids>
    <w:rsidRoot w:val="00EC74B3"/>
    <w:rsid w:val="005077F7"/>
    <w:rsid w:val="00EC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autoSpaceDE w:val="0"/>
      <w:autoSpaceDN w:val="0"/>
      <w:adjustRightInd w:val="0"/>
      <w:outlineLvl w:val="0"/>
    </w:pPr>
    <w:rPr>
      <w:rFonts w:ascii="Arial" w:hAnsi="Arial" w:cs="Arial"/>
      <w:b/>
      <w:bCs/>
      <w:lang w:val="en-US"/>
    </w:rPr>
  </w:style>
  <w:style w:type="paragraph" w:styleId="Heading2">
    <w:name w:val="heading 2"/>
    <w:basedOn w:val="Normal"/>
    <w:next w:val="Normal"/>
    <w:qFormat/>
    <w:pPr>
      <w:keepNext/>
      <w:tabs>
        <w:tab w:val="left" w:pos="0"/>
        <w:tab w:val="left" w:pos="1728"/>
      </w:tabs>
      <w:autoSpaceDE w:val="0"/>
      <w:autoSpaceDN w:val="0"/>
      <w:adjustRightInd w:val="0"/>
      <w:jc w:val="both"/>
      <w:outlineLvl w:val="1"/>
    </w:pPr>
    <w:rPr>
      <w:rFonts w:ascii="Arial" w:hAnsi="Arial" w:cs="Arial"/>
      <w:b/>
      <w:bCs/>
      <w:lang w:val="en-US"/>
    </w:rPr>
  </w:style>
  <w:style w:type="paragraph" w:styleId="Heading3">
    <w:name w:val="heading 3"/>
    <w:basedOn w:val="Normal"/>
    <w:next w:val="Normal"/>
    <w:qFormat/>
    <w:pPr>
      <w:keepNext/>
      <w:widowControl w:val="0"/>
      <w:spacing w:line="360" w:lineRule="auto"/>
      <w:jc w:val="both"/>
      <w:outlineLvl w:val="2"/>
    </w:pPr>
    <w:rPr>
      <w:b/>
      <w:snapToGrid w:val="0"/>
      <w:szCs w:val="20"/>
    </w:rPr>
  </w:style>
  <w:style w:type="paragraph" w:styleId="Heading4">
    <w:name w:val="heading 4"/>
    <w:basedOn w:val="Normal"/>
    <w:next w:val="Normal"/>
    <w:qFormat/>
    <w:pPr>
      <w:keepNext/>
      <w:spacing w:line="360" w:lineRule="auto"/>
      <w:jc w:val="both"/>
      <w:outlineLvl w:val="3"/>
    </w:pPr>
    <w:rPr>
      <w:b/>
      <w:szCs w:val="20"/>
      <w:u w:val="single"/>
    </w:rPr>
  </w:style>
  <w:style w:type="paragraph" w:styleId="Heading5">
    <w:name w:val="heading 5"/>
    <w:basedOn w:val="Normal"/>
    <w:next w:val="Normal"/>
    <w:qFormat/>
    <w:pPr>
      <w:spacing w:before="240" w:after="60"/>
      <w:outlineLvl w:val="4"/>
    </w:pPr>
    <w:rPr>
      <w:sz w:val="22"/>
      <w:szCs w:val="20"/>
    </w:rPr>
  </w:style>
  <w:style w:type="paragraph" w:styleId="Heading6">
    <w:name w:val="heading 6"/>
    <w:basedOn w:val="Normal"/>
    <w:next w:val="Normal"/>
    <w:qFormat/>
    <w:pPr>
      <w:spacing w:before="240" w:after="60"/>
      <w:outlineLvl w:val="5"/>
    </w:pPr>
    <w:rPr>
      <w:i/>
      <w:sz w:val="22"/>
      <w:szCs w:val="20"/>
    </w:rPr>
  </w:style>
  <w:style w:type="paragraph" w:styleId="Heading7">
    <w:name w:val="heading 7"/>
    <w:basedOn w:val="Normal"/>
    <w:next w:val="Normal"/>
    <w:qFormat/>
    <w:pPr>
      <w:keepNext/>
      <w:tabs>
        <w:tab w:val="left" w:pos="8640"/>
      </w:tabs>
      <w:spacing w:line="360" w:lineRule="auto"/>
      <w:jc w:val="both"/>
      <w:outlineLvl w:val="6"/>
    </w:pPr>
    <w:rPr>
      <w:rFonts w:ascii="Arial" w:hAnsi="Arial"/>
      <w:b/>
      <w:bCs/>
      <w:szCs w:val="20"/>
      <w:u w:val="single"/>
      <w:lang w:val="en-US"/>
    </w:rPr>
  </w:style>
  <w:style w:type="paragraph" w:styleId="Heading8">
    <w:name w:val="heading 8"/>
    <w:basedOn w:val="Normal"/>
    <w:next w:val="Normal"/>
    <w:qFormat/>
    <w:pPr>
      <w:keepNext/>
      <w:numPr>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360" w:lineRule="auto"/>
      <w:ind w:right="-1080"/>
      <w:jc w:val="both"/>
      <w:outlineLvl w:val="7"/>
    </w:pPr>
    <w:rPr>
      <w:rFonts w:ascii="Tahoma" w:eastAsia="Tahoma" w:hAnsi="Tahoma"/>
      <w:b/>
      <w:color w:val="000000"/>
      <w:sz w:val="28"/>
      <w:szCs w:val="20"/>
      <w:lang w:val="en-US"/>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ListBullet2">
    <w:name w:val="List Bullet 2"/>
    <w:basedOn w:val="Normal"/>
    <w:autoRedefine/>
    <w:semiHidden/>
    <w:pPr>
      <w:tabs>
        <w:tab w:val="num" w:pos="720"/>
      </w:tabs>
      <w:spacing w:line="360" w:lineRule="auto"/>
      <w:ind w:left="360" w:hanging="360"/>
      <w:jc w:val="both"/>
    </w:pPr>
    <w:rPr>
      <w:szCs w:val="20"/>
    </w:rPr>
  </w:style>
  <w:style w:type="paragraph" w:styleId="ListBullet">
    <w:name w:val="List Bullet"/>
    <w:basedOn w:val="Normal"/>
    <w:autoRedefine/>
    <w:semiHidden/>
    <w:pPr>
      <w:spacing w:line="360" w:lineRule="auto"/>
      <w:jc w:val="both"/>
    </w:pPr>
    <w:rPr>
      <w:szCs w:val="20"/>
    </w:rPr>
  </w:style>
  <w:style w:type="paragraph" w:styleId="List2">
    <w:name w:val="List 2"/>
    <w:basedOn w:val="Normal"/>
    <w:semiHidden/>
    <w:pPr>
      <w:ind w:left="720" w:hanging="360"/>
    </w:pPr>
    <w:rPr>
      <w:sz w:val="20"/>
      <w:szCs w:val="20"/>
    </w:rPr>
  </w:style>
  <w:style w:type="paragraph" w:styleId="List">
    <w:name w:val="List"/>
    <w:basedOn w:val="Normal"/>
    <w:semiHidden/>
    <w:pPr>
      <w:ind w:left="360" w:hanging="360"/>
    </w:pPr>
    <w:rPr>
      <w:sz w:val="20"/>
      <w:szCs w:val="20"/>
    </w:rPr>
  </w:style>
  <w:style w:type="paragraph" w:styleId="Title">
    <w:name w:val="Title"/>
    <w:basedOn w:val="Normal"/>
    <w:qFormat/>
    <w:pPr>
      <w:jc w:val="center"/>
    </w:pPr>
    <w:rPr>
      <w:b/>
      <w:sz w:val="20"/>
      <w:szCs w:val="20"/>
      <w:u w:val="single"/>
      <w:lang w:val="en-US"/>
    </w:rPr>
  </w:style>
  <w:style w:type="paragraph" w:styleId="BodyText">
    <w:name w:val="Body Text"/>
    <w:basedOn w:val="Normal"/>
    <w:semiHidden/>
    <w:pPr>
      <w:autoSpaceDE w:val="0"/>
      <w:autoSpaceDN w:val="0"/>
      <w:adjustRightInd w:val="0"/>
      <w:jc w:val="center"/>
    </w:pPr>
    <w:rPr>
      <w:rFonts w:ascii="Arial" w:hAnsi="Arial" w:cs="Arial"/>
      <w:sz w:val="28"/>
      <w:lang w:val="en-US"/>
    </w:rPr>
  </w:style>
  <w:style w:type="paragraph" w:styleId="BodyTextIndent">
    <w:name w:val="Body Text Indent"/>
    <w:basedOn w:val="Normal"/>
    <w:semiHidden/>
    <w:pPr>
      <w:autoSpaceDE w:val="0"/>
      <w:autoSpaceDN w:val="0"/>
      <w:adjustRightInd w:val="0"/>
      <w:ind w:left="1440" w:hanging="1440"/>
    </w:pPr>
    <w:rPr>
      <w:rFonts w:ascii="Arial" w:hAnsi="Arial" w:cs="Arial"/>
      <w:lang w:val="en-US"/>
    </w:rPr>
  </w:style>
  <w:style w:type="paragraph" w:styleId="BodyTextIndent3">
    <w:name w:val="Body Text Indent 3"/>
    <w:basedOn w:val="Normal"/>
    <w:semiHidden/>
    <w:pPr>
      <w:tabs>
        <w:tab w:val="left" w:pos="-180"/>
        <w:tab w:val="left" w:pos="720"/>
        <w:tab w:val="left" w:pos="1728"/>
      </w:tabs>
      <w:autoSpaceDE w:val="0"/>
      <w:autoSpaceDN w:val="0"/>
      <w:adjustRightInd w:val="0"/>
      <w:ind w:left="720" w:hanging="900"/>
    </w:pPr>
    <w:rPr>
      <w:rFonts w:ascii="Arial" w:hAnsi="Arial" w:cs="Arial"/>
      <w:lang w:val="en-US"/>
    </w:rPr>
  </w:style>
  <w:style w:type="paragraph" w:styleId="BodyText3">
    <w:name w:val="Body Text 3"/>
    <w:basedOn w:val="Normal"/>
    <w:semiHidden/>
    <w:pPr>
      <w:autoSpaceDE w:val="0"/>
      <w:autoSpaceDN w:val="0"/>
      <w:adjustRightInd w:val="0"/>
      <w:jc w:val="both"/>
    </w:pPr>
    <w:rPr>
      <w:rFonts w:ascii="Arial" w:hAnsi="Arial" w:cs="Arial"/>
      <w:szCs w:val="28"/>
      <w:lang w:val="en-US"/>
    </w:rPr>
  </w:style>
  <w:style w:type="paragraph" w:styleId="BodyText2">
    <w:name w:val="Body Text 2"/>
    <w:basedOn w:val="Normal"/>
    <w:semiHidden/>
    <w:pPr>
      <w:tabs>
        <w:tab w:val="left" w:pos="1260"/>
        <w:tab w:val="left" w:pos="1728"/>
      </w:tabs>
      <w:autoSpaceDE w:val="0"/>
      <w:autoSpaceDN w:val="0"/>
      <w:adjustRightInd w:val="0"/>
    </w:pPr>
    <w:rPr>
      <w:rFonts w:ascii="Arial" w:hAnsi="Arial" w:cs="Arial"/>
      <w:b/>
      <w:bCs/>
      <w:lang w:val="en-US"/>
    </w:rPr>
  </w:style>
  <w:style w:type="paragraph" w:styleId="BodyTextIndent2">
    <w:name w:val="Body Text Indent 2"/>
    <w:basedOn w:val="Normal"/>
    <w:semiHidden/>
    <w:pPr>
      <w:autoSpaceDE w:val="0"/>
      <w:autoSpaceDN w:val="0"/>
      <w:adjustRightInd w:val="0"/>
      <w:ind w:left="1080" w:hanging="360"/>
    </w:pPr>
    <w:rPr>
      <w:rFonts w:ascii="Arial" w:hAnsi="Arial" w:cs="Arial"/>
      <w:lang w:val="en-US"/>
    </w:rPr>
  </w:style>
  <w:style w:type="paragraph" w:styleId="Header">
    <w:name w:val="header"/>
    <w:basedOn w:val="Normal"/>
    <w:semiHidden/>
    <w:pPr>
      <w:tabs>
        <w:tab w:val="center" w:pos="4320"/>
        <w:tab w:val="right" w:pos="8640"/>
      </w:tabs>
    </w:pPr>
    <w:rPr>
      <w:lang w:val="en-US"/>
    </w:rPr>
  </w:style>
  <w:style w:type="paragraph" w:customStyle="1" w:styleId="DefaultText">
    <w:name w:val="Default Text"/>
    <w:basedOn w:val="Normal"/>
    <w:rPr>
      <w:szCs w:val="20"/>
      <w:lang w:val="en-US"/>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540"/>
        <w:tab w:val="left" w:pos="720"/>
        <w:tab w:val="left" w:pos="1728"/>
      </w:tabs>
      <w:autoSpaceDE w:val="0"/>
      <w:autoSpaceDN w:val="0"/>
      <w:adjustRightInd w:val="0"/>
      <w:spacing w:line="360" w:lineRule="auto"/>
      <w:ind w:left="540" w:right="389"/>
      <w:jc w:val="both"/>
    </w:pPr>
    <w:rPr>
      <w:i/>
      <w:iCs/>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80</Pages>
  <Words>25871</Words>
  <Characters>147468</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CHAPTER II</vt:lpstr>
    </vt:vector>
  </TitlesOfParts>
  <Company>INCOME TAX</Company>
  <LinksUpToDate>false</LinksUpToDate>
  <CharactersWithSpaces>172994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II</dc:title>
  <dc:subject/>
  <dc:creator>s.p.singh</dc:creator>
  <cp:keywords/>
  <dc:description/>
  <cp:lastModifiedBy> </cp:lastModifiedBy>
  <cp:revision>1</cp:revision>
  <cp:lastPrinted>2001-01-05T12:29:00Z</cp:lastPrinted>
  <dcterms:created xsi:type="dcterms:W3CDTF">2001-01-09T14:19:00Z</dcterms:created>
  <dcterms:modified xsi:type="dcterms:W3CDTF">2009-09-07T06:27:00Z</dcterms:modified>
</cp:coreProperties>
</file>