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3B3F1" w14:textId="6622CEB3" w:rsidR="0060592C" w:rsidRPr="00F7205F" w:rsidRDefault="00BE33F0" w:rsidP="00BE33F0">
      <w:pPr>
        <w:spacing w:line="240" w:lineRule="auto"/>
        <w:rPr>
          <w:rFonts w:ascii="Verdana" w:hAnsi="Verdana"/>
          <w:sz w:val="24"/>
          <w:szCs w:val="24"/>
        </w:rPr>
      </w:pPr>
      <w:r w:rsidRPr="00F7205F">
        <w:rPr>
          <w:rFonts w:ascii="Verdana" w:hAnsi="Verdana"/>
          <w:sz w:val="24"/>
          <w:szCs w:val="24"/>
        </w:rPr>
        <w:t xml:space="preserve">Please refer to your </w:t>
      </w:r>
      <w:r w:rsidR="00BB42F4" w:rsidRPr="00F7205F">
        <w:rPr>
          <w:rFonts w:ascii="Verdana" w:hAnsi="Verdana"/>
          <w:sz w:val="24"/>
          <w:szCs w:val="24"/>
        </w:rPr>
        <w:t>order</w:t>
      </w:r>
      <w:r w:rsidRPr="00F7205F">
        <w:rPr>
          <w:rFonts w:ascii="Verdana" w:hAnsi="Verdana"/>
          <w:sz w:val="24"/>
          <w:szCs w:val="24"/>
        </w:rPr>
        <w:t xml:space="preserve"> dated</w:t>
      </w:r>
      <w:r w:rsidR="004026AA" w:rsidRPr="00F7205F">
        <w:rPr>
          <w:rFonts w:ascii="Verdana" w:hAnsi="Verdana"/>
          <w:sz w:val="24"/>
          <w:szCs w:val="24"/>
        </w:rPr>
        <w:t xml:space="preserve"> 26/07/2021</w:t>
      </w:r>
      <w:r w:rsidRPr="00F7205F">
        <w:rPr>
          <w:rFonts w:ascii="Verdana" w:hAnsi="Verdana"/>
          <w:sz w:val="24"/>
          <w:szCs w:val="24"/>
        </w:rPr>
        <w:t>bearing number      ITBA/AST/F/17/2021-22/103</w:t>
      </w:r>
      <w:r w:rsidR="004026AA" w:rsidRPr="00F7205F">
        <w:rPr>
          <w:rFonts w:ascii="Verdana" w:hAnsi="Verdana"/>
          <w:sz w:val="24"/>
          <w:szCs w:val="24"/>
        </w:rPr>
        <w:t>4028124(1)</w:t>
      </w:r>
      <w:r w:rsidRPr="00F7205F">
        <w:rPr>
          <w:rFonts w:ascii="Verdana" w:hAnsi="Verdana"/>
          <w:sz w:val="24"/>
          <w:szCs w:val="24"/>
        </w:rPr>
        <w:t xml:space="preserve"> </w:t>
      </w:r>
      <w:r w:rsidR="00BB42F4" w:rsidRPr="00F7205F">
        <w:rPr>
          <w:rFonts w:ascii="Verdana" w:hAnsi="Verdana"/>
          <w:sz w:val="24"/>
          <w:szCs w:val="24"/>
        </w:rPr>
        <w:t>disposing our objections to the re-op</w:t>
      </w:r>
      <w:r w:rsidRPr="00F7205F">
        <w:rPr>
          <w:rFonts w:ascii="Verdana" w:hAnsi="Verdana"/>
          <w:sz w:val="24"/>
          <w:szCs w:val="24"/>
        </w:rPr>
        <w:t>ening of assessment for the assessment year 201</w:t>
      </w:r>
      <w:r w:rsidR="00BB42F4" w:rsidRPr="00F7205F">
        <w:rPr>
          <w:rFonts w:ascii="Verdana" w:hAnsi="Verdana"/>
          <w:sz w:val="24"/>
          <w:szCs w:val="24"/>
        </w:rPr>
        <w:t>7</w:t>
      </w:r>
      <w:r w:rsidRPr="00F7205F">
        <w:rPr>
          <w:rFonts w:ascii="Verdana" w:hAnsi="Verdana"/>
          <w:sz w:val="24"/>
          <w:szCs w:val="24"/>
        </w:rPr>
        <w:t>-1</w:t>
      </w:r>
      <w:r w:rsidR="00BB42F4" w:rsidRPr="00F7205F">
        <w:rPr>
          <w:rFonts w:ascii="Verdana" w:hAnsi="Verdana"/>
          <w:sz w:val="24"/>
          <w:szCs w:val="24"/>
        </w:rPr>
        <w:t>8</w:t>
      </w:r>
      <w:r w:rsidRPr="00F7205F">
        <w:rPr>
          <w:rFonts w:ascii="Verdana" w:hAnsi="Verdana"/>
          <w:sz w:val="24"/>
          <w:szCs w:val="24"/>
        </w:rPr>
        <w:t xml:space="preserve"> </w:t>
      </w:r>
      <w:r w:rsidR="00BB42F4" w:rsidRPr="00F7205F">
        <w:rPr>
          <w:rFonts w:ascii="Verdana" w:hAnsi="Verdana"/>
          <w:sz w:val="24"/>
          <w:szCs w:val="24"/>
        </w:rPr>
        <w:t xml:space="preserve">yet providing fresh opportunity to file </w:t>
      </w:r>
      <w:r w:rsidRPr="00F7205F">
        <w:rPr>
          <w:rFonts w:ascii="Verdana" w:hAnsi="Verdana"/>
          <w:sz w:val="24"/>
          <w:szCs w:val="24"/>
        </w:rPr>
        <w:t>objections</w:t>
      </w:r>
      <w:r w:rsidR="00BB42F4" w:rsidRPr="00F7205F">
        <w:rPr>
          <w:rFonts w:ascii="Verdana" w:hAnsi="Verdana"/>
          <w:sz w:val="24"/>
          <w:szCs w:val="24"/>
        </w:rPr>
        <w:t xml:space="preserve"> in view of providing us </w:t>
      </w:r>
      <w:r w:rsidR="00A4035C" w:rsidRPr="00F7205F">
        <w:rPr>
          <w:rFonts w:ascii="Verdana" w:hAnsi="Verdana"/>
          <w:sz w:val="24"/>
          <w:szCs w:val="24"/>
        </w:rPr>
        <w:t xml:space="preserve">of late </w:t>
      </w:r>
      <w:r w:rsidR="00BB42F4" w:rsidRPr="00F7205F">
        <w:rPr>
          <w:rFonts w:ascii="Verdana" w:hAnsi="Verdana"/>
          <w:sz w:val="24"/>
          <w:szCs w:val="24"/>
        </w:rPr>
        <w:t xml:space="preserve">copies of certain documents and </w:t>
      </w:r>
      <w:r w:rsidR="008B642F" w:rsidRPr="00F7205F">
        <w:rPr>
          <w:rFonts w:ascii="Verdana" w:hAnsi="Verdana"/>
          <w:sz w:val="24"/>
          <w:szCs w:val="24"/>
        </w:rPr>
        <w:t xml:space="preserve">relevant extract of the </w:t>
      </w:r>
      <w:r w:rsidR="00BB42F4" w:rsidRPr="00F7205F">
        <w:rPr>
          <w:rFonts w:ascii="Verdana" w:hAnsi="Verdana"/>
          <w:sz w:val="24"/>
          <w:szCs w:val="24"/>
        </w:rPr>
        <w:t>statement made by the witness</w:t>
      </w:r>
      <w:r w:rsidR="008B642F" w:rsidRPr="00F7205F">
        <w:rPr>
          <w:rFonts w:ascii="Verdana" w:hAnsi="Verdana"/>
          <w:sz w:val="24"/>
          <w:szCs w:val="24"/>
        </w:rPr>
        <w:t>, Shri Rajal Narendra Ashar</w:t>
      </w:r>
      <w:r w:rsidR="00BB42F4" w:rsidRPr="00F7205F">
        <w:rPr>
          <w:rFonts w:ascii="Verdana" w:hAnsi="Verdana"/>
          <w:sz w:val="24"/>
          <w:szCs w:val="24"/>
        </w:rPr>
        <w:t xml:space="preserve"> on whose testimony you are relying to draw adverse inference against us.</w:t>
      </w:r>
      <w:r w:rsidR="008B642F" w:rsidRPr="00F7205F">
        <w:rPr>
          <w:rFonts w:ascii="Verdana" w:hAnsi="Verdana"/>
          <w:sz w:val="24"/>
          <w:szCs w:val="24"/>
        </w:rPr>
        <w:t xml:space="preserve"> The procedure adopted to provide relevant extract is against the principles of natural justice as the relevance and context of the testimony can not be ascertained in the absence of full text of the testimony of the witness.</w:t>
      </w:r>
    </w:p>
    <w:p w14:paraId="6D8FC103" w14:textId="22B58EA1" w:rsidR="00BE33F0" w:rsidRPr="00F7205F" w:rsidRDefault="00BE33F0" w:rsidP="00BE33F0">
      <w:pPr>
        <w:spacing w:line="240" w:lineRule="auto"/>
        <w:rPr>
          <w:rFonts w:ascii="Verdana" w:hAnsi="Verdana"/>
          <w:sz w:val="24"/>
          <w:szCs w:val="24"/>
        </w:rPr>
      </w:pPr>
      <w:r w:rsidRPr="00F7205F">
        <w:rPr>
          <w:rFonts w:ascii="Verdana" w:hAnsi="Verdana"/>
          <w:sz w:val="24"/>
          <w:szCs w:val="24"/>
        </w:rPr>
        <w:t xml:space="preserve">The said </w:t>
      </w:r>
      <w:r w:rsidR="008B642F" w:rsidRPr="00F7205F">
        <w:rPr>
          <w:rFonts w:ascii="Verdana" w:hAnsi="Verdana"/>
          <w:sz w:val="24"/>
          <w:szCs w:val="24"/>
        </w:rPr>
        <w:t>order</w:t>
      </w:r>
      <w:r w:rsidRPr="00F7205F">
        <w:rPr>
          <w:rFonts w:ascii="Verdana" w:hAnsi="Verdana"/>
          <w:sz w:val="24"/>
          <w:szCs w:val="24"/>
        </w:rPr>
        <w:t>, on the face of it, is bad-in-law, void ab initio</w:t>
      </w:r>
      <w:r w:rsidR="008B642F" w:rsidRPr="00F7205F">
        <w:rPr>
          <w:rFonts w:ascii="Verdana" w:hAnsi="Verdana"/>
          <w:sz w:val="24"/>
          <w:szCs w:val="24"/>
        </w:rPr>
        <w:t xml:space="preserve"> and legally untenable </w:t>
      </w:r>
      <w:r w:rsidRPr="00F7205F">
        <w:rPr>
          <w:rFonts w:ascii="Verdana" w:hAnsi="Verdana"/>
          <w:sz w:val="24"/>
          <w:szCs w:val="24"/>
        </w:rPr>
        <w:t xml:space="preserve"> being contrary to the law settled by Honourable Courts and Tribunals</w:t>
      </w:r>
      <w:r w:rsidR="0048727D" w:rsidRPr="00F7205F">
        <w:rPr>
          <w:rFonts w:ascii="Verdana" w:hAnsi="Verdana"/>
          <w:sz w:val="24"/>
          <w:szCs w:val="24"/>
        </w:rPr>
        <w:t xml:space="preserve"> including the action of issuing notice under section 148 of the Act.</w:t>
      </w:r>
    </w:p>
    <w:p w14:paraId="60F3BF8E" w14:textId="452759AC" w:rsidR="003A4A4C" w:rsidRPr="00F7205F" w:rsidRDefault="00176D95" w:rsidP="00BE33F0">
      <w:pPr>
        <w:spacing w:line="240" w:lineRule="auto"/>
        <w:rPr>
          <w:rFonts w:ascii="Verdana" w:hAnsi="Verdana"/>
          <w:sz w:val="24"/>
          <w:szCs w:val="24"/>
        </w:rPr>
      </w:pPr>
      <w:r w:rsidRPr="00F7205F">
        <w:rPr>
          <w:rFonts w:ascii="Verdana" w:hAnsi="Verdana"/>
          <w:sz w:val="24"/>
          <w:szCs w:val="24"/>
        </w:rPr>
        <w:t xml:space="preserve">We wish to draw your kind attention to </w:t>
      </w:r>
      <w:r w:rsidR="000109F2" w:rsidRPr="00F7205F">
        <w:rPr>
          <w:rFonts w:ascii="Verdana" w:hAnsi="Verdana"/>
          <w:sz w:val="24"/>
          <w:szCs w:val="24"/>
        </w:rPr>
        <w:t>the provisions of section 153C of the Income-tax Act, 1961(hereinafter referred to as ‘the Act’)</w:t>
      </w:r>
      <w:r w:rsidR="006D286A" w:rsidRPr="00F7205F">
        <w:rPr>
          <w:rFonts w:ascii="Verdana" w:hAnsi="Verdana"/>
          <w:sz w:val="24"/>
          <w:szCs w:val="24"/>
        </w:rPr>
        <w:t xml:space="preserve"> as amended by </w:t>
      </w:r>
      <w:r w:rsidR="0048727D" w:rsidRPr="00F7205F">
        <w:rPr>
          <w:rFonts w:ascii="Verdana" w:hAnsi="Verdana"/>
          <w:sz w:val="24"/>
          <w:szCs w:val="24"/>
        </w:rPr>
        <w:t>the Finance Act, 2015 with effect from 01/06/2015</w:t>
      </w:r>
      <w:r w:rsidR="00242016" w:rsidRPr="00F7205F">
        <w:rPr>
          <w:rFonts w:ascii="Verdana" w:hAnsi="Verdana"/>
          <w:sz w:val="24"/>
          <w:szCs w:val="24"/>
        </w:rPr>
        <w:t xml:space="preserve"> and by the Finance Act, 2017 with effect from 01/04/2017</w:t>
      </w:r>
      <w:r w:rsidR="0048727D" w:rsidRPr="00F7205F">
        <w:rPr>
          <w:rFonts w:ascii="Verdana" w:hAnsi="Verdana"/>
          <w:sz w:val="24"/>
          <w:szCs w:val="24"/>
        </w:rPr>
        <w:t xml:space="preserve"> which, inter-alia provides that where the Assessing Officer (hereinafter referred to as ‘the AO’) is satisfied that any books of account or documents seized pertains to , or any information contained therein, relates to, a person other than the person referred to in section 153A, then, the books of account or documents seized shall be handed over to the AO having jurisdiction over over such other person and that AO shall proceed </w:t>
      </w:r>
      <w:r w:rsidR="00242016" w:rsidRPr="00F7205F">
        <w:rPr>
          <w:rFonts w:ascii="Verdana" w:hAnsi="Verdana"/>
          <w:sz w:val="24"/>
          <w:szCs w:val="24"/>
        </w:rPr>
        <w:t>against</w:t>
      </w:r>
      <w:r w:rsidR="0048727D" w:rsidRPr="00F7205F">
        <w:rPr>
          <w:rFonts w:ascii="Verdana" w:hAnsi="Verdana"/>
          <w:sz w:val="24"/>
          <w:szCs w:val="24"/>
        </w:rPr>
        <w:t xml:space="preserve"> such other person and issue notice </w:t>
      </w:r>
      <w:r w:rsidR="00242016" w:rsidRPr="00F7205F">
        <w:rPr>
          <w:rFonts w:ascii="Verdana" w:hAnsi="Verdana"/>
          <w:sz w:val="24"/>
          <w:szCs w:val="24"/>
        </w:rPr>
        <w:t>and assess or reassess the income of the other person in accordance with the provisions of section 153A of the Act, if that AO is satisfied that the books of account or documents seized  have a bearing on the determination of the total income of such other person or six assessment years immediately preceding the assessment year relevant to the previous year in which search is conducted.</w:t>
      </w:r>
      <w:r w:rsidR="0048727D" w:rsidRPr="00F7205F">
        <w:rPr>
          <w:rFonts w:ascii="Verdana" w:hAnsi="Verdana"/>
          <w:sz w:val="24"/>
          <w:szCs w:val="24"/>
        </w:rPr>
        <w:t xml:space="preserve"> </w:t>
      </w:r>
      <w:r w:rsidR="008B642F" w:rsidRPr="00F7205F">
        <w:rPr>
          <w:rFonts w:ascii="Verdana" w:hAnsi="Verdana"/>
          <w:sz w:val="24"/>
          <w:szCs w:val="24"/>
        </w:rPr>
        <w:t>Therefore, your decision that no satisfaction requires to be recorded by the AO of the searched person is erroneous and incorrect.</w:t>
      </w:r>
    </w:p>
    <w:p w14:paraId="10C47AFC" w14:textId="77777777" w:rsidR="00057D18" w:rsidRPr="00F7205F" w:rsidRDefault="003A4A4C" w:rsidP="00BE33F0">
      <w:pPr>
        <w:spacing w:line="240" w:lineRule="auto"/>
        <w:rPr>
          <w:rFonts w:ascii="Verdana" w:hAnsi="Verdana"/>
          <w:sz w:val="24"/>
          <w:szCs w:val="24"/>
        </w:rPr>
      </w:pPr>
      <w:r w:rsidRPr="00F7205F">
        <w:rPr>
          <w:rFonts w:ascii="Verdana" w:hAnsi="Verdana"/>
          <w:sz w:val="24"/>
          <w:szCs w:val="24"/>
        </w:rPr>
        <w:t>Section 153C of the Act begins with a non-obstante clause making the provisions of sections 139, 147, 148, 149, 151 and section 153 inapplicable</w:t>
      </w:r>
      <w:r w:rsidR="00BE7A3E" w:rsidRPr="00F7205F">
        <w:rPr>
          <w:rFonts w:ascii="Verdana" w:hAnsi="Verdana"/>
          <w:sz w:val="24"/>
          <w:szCs w:val="24"/>
        </w:rPr>
        <w:t xml:space="preserve"> and making the provisions of section 153C of the Act over-riding in nature.  </w:t>
      </w:r>
    </w:p>
    <w:p w14:paraId="7969449D" w14:textId="338362B3" w:rsidR="00057D18" w:rsidRPr="00F7205F" w:rsidRDefault="00057D18" w:rsidP="00BE33F0">
      <w:pPr>
        <w:spacing w:line="240" w:lineRule="auto"/>
        <w:rPr>
          <w:rFonts w:ascii="Verdana" w:hAnsi="Verdana"/>
          <w:sz w:val="24"/>
          <w:szCs w:val="24"/>
        </w:rPr>
      </w:pPr>
      <w:r w:rsidRPr="00F7205F">
        <w:rPr>
          <w:rFonts w:ascii="Verdana" w:hAnsi="Verdana"/>
          <w:sz w:val="24"/>
          <w:szCs w:val="24"/>
        </w:rPr>
        <w:t xml:space="preserve">In the present case as belief to the escapement of income for the assessment year 2017-18 has been formed on the basis of documents seized from Shri Rajal Narendra Ashar and which documents pertains </w:t>
      </w:r>
      <w:r w:rsidR="009320F5" w:rsidRPr="00F7205F">
        <w:rPr>
          <w:rFonts w:ascii="Verdana" w:hAnsi="Verdana"/>
          <w:sz w:val="24"/>
          <w:szCs w:val="24"/>
        </w:rPr>
        <w:t>to the</w:t>
      </w:r>
      <w:r w:rsidRPr="00F7205F">
        <w:rPr>
          <w:rFonts w:ascii="Verdana" w:hAnsi="Verdana"/>
          <w:sz w:val="24"/>
          <w:szCs w:val="24"/>
        </w:rPr>
        <w:t xml:space="preserve"> assessee as held by your kind Honour</w:t>
      </w:r>
      <w:r w:rsidR="0080265A" w:rsidRPr="00F7205F">
        <w:rPr>
          <w:rFonts w:ascii="Verdana" w:hAnsi="Verdana"/>
          <w:sz w:val="24"/>
          <w:szCs w:val="24"/>
        </w:rPr>
        <w:t>.</w:t>
      </w:r>
      <w:r w:rsidRPr="00F7205F">
        <w:rPr>
          <w:rFonts w:ascii="Verdana" w:hAnsi="Verdana"/>
          <w:sz w:val="24"/>
          <w:szCs w:val="24"/>
        </w:rPr>
        <w:t xml:space="preserve"> as well information contained in such documents relates to the assessee in the opinion of your kind Honour</w:t>
      </w:r>
      <w:r w:rsidR="009320F5" w:rsidRPr="00F7205F">
        <w:rPr>
          <w:rFonts w:ascii="Verdana" w:hAnsi="Verdana"/>
          <w:sz w:val="24"/>
          <w:szCs w:val="24"/>
        </w:rPr>
        <w:t>.</w:t>
      </w:r>
      <w:r w:rsidR="0064513E" w:rsidRPr="00F7205F">
        <w:rPr>
          <w:rFonts w:ascii="Verdana" w:hAnsi="Verdana"/>
          <w:sz w:val="24"/>
          <w:szCs w:val="24"/>
        </w:rPr>
        <w:t xml:space="preserve"> </w:t>
      </w:r>
      <w:r w:rsidRPr="00F7205F">
        <w:rPr>
          <w:rFonts w:ascii="Verdana" w:hAnsi="Verdana"/>
          <w:sz w:val="24"/>
          <w:szCs w:val="24"/>
        </w:rPr>
        <w:t>Hon’ble High Court of Bombay in the case of Arpit Land (Pvt.) Ltd reported in</w:t>
      </w:r>
      <w:r w:rsidR="0064513E" w:rsidRPr="00F7205F">
        <w:rPr>
          <w:rFonts w:ascii="Verdana" w:hAnsi="Verdana"/>
          <w:sz w:val="24"/>
          <w:szCs w:val="24"/>
        </w:rPr>
        <w:t xml:space="preserve"> [2017] 178 taxmann.com 300 (Bom.)</w:t>
      </w:r>
      <w:r w:rsidRPr="00F7205F">
        <w:rPr>
          <w:rFonts w:ascii="Verdana" w:hAnsi="Verdana"/>
          <w:sz w:val="24"/>
          <w:szCs w:val="24"/>
        </w:rPr>
        <w:t xml:space="preserve"> </w:t>
      </w:r>
      <w:r w:rsidR="0064513E" w:rsidRPr="00F7205F">
        <w:rPr>
          <w:rFonts w:ascii="Verdana" w:hAnsi="Verdana"/>
          <w:sz w:val="24"/>
          <w:szCs w:val="24"/>
        </w:rPr>
        <w:t>have held that the amendment is prospective in nature which would</w:t>
      </w:r>
      <w:r w:rsidR="009320F5" w:rsidRPr="00F7205F">
        <w:rPr>
          <w:rFonts w:ascii="Verdana" w:hAnsi="Verdana"/>
          <w:sz w:val="24"/>
          <w:szCs w:val="24"/>
        </w:rPr>
        <w:t xml:space="preserve"> mean </w:t>
      </w:r>
      <w:r w:rsidR="0064513E" w:rsidRPr="00F7205F">
        <w:rPr>
          <w:rFonts w:ascii="Verdana" w:hAnsi="Verdana"/>
          <w:sz w:val="24"/>
          <w:szCs w:val="24"/>
        </w:rPr>
        <w:t>that action under section 153C of the Act required to</w:t>
      </w:r>
      <w:r w:rsidR="009320F5" w:rsidRPr="00F7205F">
        <w:rPr>
          <w:rFonts w:ascii="Verdana" w:hAnsi="Verdana"/>
          <w:sz w:val="24"/>
          <w:szCs w:val="24"/>
        </w:rPr>
        <w:t xml:space="preserve"> </w:t>
      </w:r>
      <w:r w:rsidR="0064513E" w:rsidRPr="00F7205F">
        <w:rPr>
          <w:rFonts w:ascii="Verdana" w:hAnsi="Verdana"/>
          <w:sz w:val="24"/>
          <w:szCs w:val="24"/>
        </w:rPr>
        <w:t xml:space="preserve">be taken in the present case as search </w:t>
      </w:r>
      <w:r w:rsidR="0064513E" w:rsidRPr="00F7205F">
        <w:rPr>
          <w:rFonts w:ascii="Verdana" w:hAnsi="Verdana"/>
          <w:sz w:val="24"/>
          <w:szCs w:val="24"/>
        </w:rPr>
        <w:lastRenderedPageBreak/>
        <w:t>under section 132 of the Act was made in July, 2017</w:t>
      </w:r>
      <w:r w:rsidR="009320F5" w:rsidRPr="00F7205F">
        <w:rPr>
          <w:rFonts w:ascii="Verdana" w:hAnsi="Verdana"/>
          <w:sz w:val="24"/>
          <w:szCs w:val="24"/>
        </w:rPr>
        <w:t xml:space="preserve"> and not under Section 147 of the Act.</w:t>
      </w:r>
    </w:p>
    <w:p w14:paraId="68CBD109" w14:textId="72E9290B" w:rsidR="0064513E" w:rsidRPr="00F7205F" w:rsidRDefault="0064513E" w:rsidP="00BE33F0">
      <w:pPr>
        <w:spacing w:line="240" w:lineRule="auto"/>
        <w:rPr>
          <w:rFonts w:ascii="Verdana" w:hAnsi="Verdana"/>
          <w:sz w:val="24"/>
          <w:szCs w:val="24"/>
        </w:rPr>
      </w:pPr>
      <w:r w:rsidRPr="00F7205F">
        <w:rPr>
          <w:rFonts w:ascii="Verdana" w:hAnsi="Verdana"/>
          <w:sz w:val="24"/>
          <w:szCs w:val="24"/>
        </w:rPr>
        <w:t>Without prejudice to our contention stated above, onmerits, it is seen that belief is formed for escapement of income to the extent of Rs. 1, 31, 15,355/- being two sums of Rs. 34, 05,300/- and another sum f Rs. 97, 10,055/-. As regards, the first item, it is held that this represents cash payment and payment towards cash expenses to Bhagirath Mutha &amp; Co. which forms part of overall bank payments of Rs. 46, 41,89, 676/- as reflected in Pages 130</w:t>
      </w:r>
      <w:r w:rsidR="001E1AA9" w:rsidRPr="00F7205F">
        <w:rPr>
          <w:rFonts w:ascii="Verdana" w:hAnsi="Verdana"/>
          <w:sz w:val="24"/>
          <w:szCs w:val="24"/>
        </w:rPr>
        <w:t xml:space="preserve"> and 131</w:t>
      </w:r>
      <w:r w:rsidRPr="00F7205F">
        <w:rPr>
          <w:rFonts w:ascii="Verdana" w:hAnsi="Verdana"/>
          <w:sz w:val="24"/>
          <w:szCs w:val="24"/>
        </w:rPr>
        <w:t xml:space="preserve"> read with Pages 127 to 129 of Annexure-A1</w:t>
      </w:r>
      <w:r w:rsidR="001E1AA9" w:rsidRPr="00F7205F">
        <w:rPr>
          <w:rFonts w:ascii="Verdana" w:hAnsi="Verdana"/>
          <w:sz w:val="24"/>
          <w:szCs w:val="24"/>
        </w:rPr>
        <w:t xml:space="preserve">. </w:t>
      </w:r>
    </w:p>
    <w:p w14:paraId="5CCD3A00" w14:textId="39546EF7" w:rsidR="001E1AA9" w:rsidRPr="00F7205F" w:rsidRDefault="001E1AA9" w:rsidP="00BE33F0">
      <w:pPr>
        <w:spacing w:line="240" w:lineRule="auto"/>
        <w:rPr>
          <w:rFonts w:ascii="Verdana" w:hAnsi="Verdana"/>
          <w:sz w:val="24"/>
          <w:szCs w:val="24"/>
        </w:rPr>
      </w:pPr>
      <w:r w:rsidRPr="00F7205F">
        <w:rPr>
          <w:rFonts w:ascii="Verdana" w:hAnsi="Verdana"/>
          <w:sz w:val="24"/>
          <w:szCs w:val="24"/>
        </w:rPr>
        <w:t xml:space="preserve">The other sum of Rs. 97, 10,055 being interest which working can be seen at Page 79 of Annexure A1 on total cash loans of Rs. 3 Crores </w:t>
      </w:r>
      <w:r w:rsidR="00151069" w:rsidRPr="00F7205F">
        <w:rPr>
          <w:rFonts w:ascii="Verdana" w:hAnsi="Verdana"/>
          <w:sz w:val="24"/>
          <w:szCs w:val="24"/>
        </w:rPr>
        <w:t xml:space="preserve">allegedly </w:t>
      </w:r>
      <w:r w:rsidRPr="00F7205F">
        <w:rPr>
          <w:rFonts w:ascii="Verdana" w:hAnsi="Verdana"/>
          <w:sz w:val="24"/>
          <w:szCs w:val="24"/>
        </w:rPr>
        <w:t>lent during the period from financial years 2012-13 and repaid during financial year 2016-17 relevant for assessment years 2013-14 and 2017-18</w:t>
      </w:r>
      <w:r w:rsidR="00151069" w:rsidRPr="00F7205F">
        <w:rPr>
          <w:rFonts w:ascii="Verdana" w:hAnsi="Verdana"/>
          <w:sz w:val="24"/>
          <w:szCs w:val="24"/>
        </w:rPr>
        <w:t xml:space="preserve"> respectively</w:t>
      </w:r>
      <w:r w:rsidRPr="00F7205F">
        <w:rPr>
          <w:rFonts w:ascii="Verdana" w:hAnsi="Verdana"/>
          <w:sz w:val="24"/>
          <w:szCs w:val="24"/>
        </w:rPr>
        <w:t>. Total period for which Rs. 3 crores are alleged to have been lent by Bhagirath Mutha &amp; Co relates to five (5) years.</w:t>
      </w:r>
    </w:p>
    <w:p w14:paraId="2CCEA298" w14:textId="7BD7E006" w:rsidR="001E1AA9" w:rsidRPr="00F7205F" w:rsidRDefault="001E1AA9" w:rsidP="00BE33F0">
      <w:pPr>
        <w:spacing w:line="240" w:lineRule="auto"/>
        <w:rPr>
          <w:rFonts w:ascii="Verdana" w:hAnsi="Verdana"/>
          <w:sz w:val="24"/>
          <w:szCs w:val="24"/>
        </w:rPr>
      </w:pPr>
      <w:r w:rsidRPr="00F7205F">
        <w:rPr>
          <w:rFonts w:ascii="Verdana" w:hAnsi="Verdana"/>
          <w:sz w:val="24"/>
          <w:szCs w:val="24"/>
        </w:rPr>
        <w:t xml:space="preserve">We strongly deny that we have lent any such sum to Shri Rajal Narendra Ashar. The Department has not found any iota of evidence suggesting any cash flow from our books to Shri Rajal </w:t>
      </w:r>
      <w:r w:rsidR="00151069" w:rsidRPr="00F7205F">
        <w:rPr>
          <w:rFonts w:ascii="Verdana" w:hAnsi="Verdana"/>
          <w:sz w:val="24"/>
          <w:szCs w:val="24"/>
        </w:rPr>
        <w:t>N</w:t>
      </w:r>
      <w:r w:rsidRPr="00F7205F">
        <w:rPr>
          <w:rFonts w:ascii="Verdana" w:hAnsi="Verdana"/>
          <w:sz w:val="24"/>
          <w:szCs w:val="24"/>
        </w:rPr>
        <w:t xml:space="preserve">arendra Ashar. Assuming for a moment but denying at the same time, period involved is five (5) years and therefore </w:t>
      </w:r>
      <w:r w:rsidR="00151069" w:rsidRPr="00F7205F">
        <w:rPr>
          <w:rFonts w:ascii="Verdana" w:hAnsi="Verdana"/>
          <w:sz w:val="24"/>
          <w:szCs w:val="24"/>
        </w:rPr>
        <w:t xml:space="preserve">the </w:t>
      </w:r>
      <w:r w:rsidRPr="00F7205F">
        <w:rPr>
          <w:rFonts w:ascii="Verdana" w:hAnsi="Verdana"/>
          <w:sz w:val="24"/>
          <w:szCs w:val="24"/>
        </w:rPr>
        <w:t xml:space="preserve">entire sum of Rs. 97, 10,055/- can not be assessed </w:t>
      </w:r>
      <w:r w:rsidR="00367367" w:rsidRPr="00F7205F">
        <w:rPr>
          <w:rFonts w:ascii="Verdana" w:hAnsi="Verdana"/>
          <w:sz w:val="24"/>
          <w:szCs w:val="24"/>
        </w:rPr>
        <w:t>for and in relation to the assessment year 2017-18. It is the same situation in respect of the other sum of Rs. 34, 05,300/- for which there is not an iota of evidence</w:t>
      </w:r>
      <w:r w:rsidR="00151069" w:rsidRPr="00F7205F">
        <w:rPr>
          <w:rFonts w:ascii="Verdana" w:hAnsi="Verdana"/>
          <w:sz w:val="24"/>
          <w:szCs w:val="24"/>
        </w:rPr>
        <w:t xml:space="preserve"> that for what purpose cash payments were made. </w:t>
      </w:r>
      <w:r w:rsidR="00367367" w:rsidRPr="00F7205F">
        <w:rPr>
          <w:rFonts w:ascii="Verdana" w:hAnsi="Verdana"/>
          <w:sz w:val="24"/>
          <w:szCs w:val="24"/>
        </w:rPr>
        <w:t>The paper seized does not belong to the assessee.</w:t>
      </w:r>
    </w:p>
    <w:p w14:paraId="2C1504B3" w14:textId="526E2EBD" w:rsidR="00367367" w:rsidRPr="00F7205F" w:rsidRDefault="00367367" w:rsidP="00BE33F0">
      <w:pPr>
        <w:spacing w:line="240" w:lineRule="auto"/>
        <w:rPr>
          <w:rFonts w:ascii="Verdana" w:hAnsi="Verdana"/>
          <w:sz w:val="24"/>
          <w:szCs w:val="24"/>
        </w:rPr>
      </w:pPr>
      <w:r w:rsidRPr="00F7205F">
        <w:rPr>
          <w:rFonts w:ascii="Verdana" w:hAnsi="Verdana"/>
          <w:sz w:val="24"/>
          <w:szCs w:val="24"/>
        </w:rPr>
        <w:t>We reserve our right to cross-examine Shri Rajal Narendra Ashar if you proceed to draw adverse inference against us on the basis of his statement and request that we may be allowed to cross-examine him being your witness.</w:t>
      </w:r>
    </w:p>
    <w:p w14:paraId="63C39084" w14:textId="61E95A47" w:rsidR="001E1AA9" w:rsidRPr="00F7205F" w:rsidRDefault="009320F5" w:rsidP="00BE33F0">
      <w:pPr>
        <w:spacing w:line="240" w:lineRule="auto"/>
        <w:rPr>
          <w:rFonts w:ascii="Verdana" w:hAnsi="Verdana"/>
          <w:sz w:val="24"/>
          <w:szCs w:val="24"/>
        </w:rPr>
      </w:pPr>
      <w:r w:rsidRPr="00F7205F">
        <w:rPr>
          <w:rFonts w:ascii="Verdana" w:hAnsi="Verdana"/>
          <w:sz w:val="24"/>
          <w:szCs w:val="24"/>
        </w:rPr>
        <w:t xml:space="preserve">There </w:t>
      </w:r>
      <w:r w:rsidR="00151069" w:rsidRPr="00F7205F">
        <w:rPr>
          <w:rFonts w:ascii="Verdana" w:hAnsi="Verdana"/>
          <w:sz w:val="24"/>
          <w:szCs w:val="24"/>
        </w:rPr>
        <w:t>is</w:t>
      </w:r>
      <w:r w:rsidRPr="00F7205F">
        <w:rPr>
          <w:rFonts w:ascii="Verdana" w:hAnsi="Verdana"/>
          <w:sz w:val="24"/>
          <w:szCs w:val="24"/>
        </w:rPr>
        <w:t xml:space="preserve"> a catena of decisions of the Courts and the Tribunals holding that additions can not be made merely on the basis of entries found in loose papers/sheets seized from a third person in the absence of any corroborative evidence to that effect.</w:t>
      </w:r>
    </w:p>
    <w:p w14:paraId="50394549" w14:textId="77777777" w:rsidR="004F098C" w:rsidRPr="00F7205F" w:rsidRDefault="004F098C" w:rsidP="00BE33F0">
      <w:pPr>
        <w:spacing w:line="240" w:lineRule="auto"/>
        <w:rPr>
          <w:rFonts w:ascii="Verdana" w:hAnsi="Verdana"/>
          <w:sz w:val="24"/>
          <w:szCs w:val="24"/>
        </w:rPr>
      </w:pPr>
    </w:p>
    <w:p w14:paraId="4023E626" w14:textId="77777777" w:rsidR="004F098C" w:rsidRPr="00F7205F" w:rsidRDefault="004F098C" w:rsidP="00BE33F0">
      <w:pPr>
        <w:spacing w:line="240" w:lineRule="auto"/>
        <w:rPr>
          <w:rFonts w:ascii="Verdana" w:hAnsi="Verdana"/>
          <w:sz w:val="24"/>
          <w:szCs w:val="24"/>
        </w:rPr>
      </w:pPr>
    </w:p>
    <w:p w14:paraId="3C411779" w14:textId="77777777" w:rsidR="004F098C" w:rsidRPr="00F7205F" w:rsidRDefault="004F098C" w:rsidP="00BE33F0">
      <w:pPr>
        <w:spacing w:line="240" w:lineRule="auto"/>
        <w:rPr>
          <w:rFonts w:ascii="Verdana" w:hAnsi="Verdana"/>
          <w:sz w:val="24"/>
          <w:szCs w:val="24"/>
        </w:rPr>
      </w:pPr>
    </w:p>
    <w:p w14:paraId="282E445E" w14:textId="77777777" w:rsidR="004F098C" w:rsidRPr="00F7205F" w:rsidRDefault="004F098C" w:rsidP="00BE33F0">
      <w:pPr>
        <w:spacing w:line="240" w:lineRule="auto"/>
        <w:rPr>
          <w:rFonts w:ascii="Verdana" w:hAnsi="Verdana"/>
          <w:sz w:val="24"/>
          <w:szCs w:val="24"/>
        </w:rPr>
      </w:pPr>
    </w:p>
    <w:p w14:paraId="12018199" w14:textId="77777777" w:rsidR="004F098C" w:rsidRPr="00F7205F" w:rsidRDefault="004F098C" w:rsidP="00BE33F0">
      <w:pPr>
        <w:spacing w:line="240" w:lineRule="auto"/>
        <w:rPr>
          <w:rFonts w:ascii="Verdana" w:hAnsi="Verdana"/>
          <w:sz w:val="24"/>
          <w:szCs w:val="24"/>
        </w:rPr>
      </w:pPr>
    </w:p>
    <w:p w14:paraId="5ED58DF1" w14:textId="77777777" w:rsidR="004F098C" w:rsidRPr="00F7205F" w:rsidRDefault="004F098C" w:rsidP="00BE33F0">
      <w:pPr>
        <w:spacing w:line="240" w:lineRule="auto"/>
        <w:rPr>
          <w:rFonts w:ascii="Verdana" w:hAnsi="Verdana"/>
          <w:sz w:val="24"/>
          <w:szCs w:val="24"/>
        </w:rPr>
      </w:pPr>
    </w:p>
    <w:p w14:paraId="41B33BB4" w14:textId="77777777" w:rsidR="004F098C" w:rsidRPr="00F7205F" w:rsidRDefault="004F098C" w:rsidP="00BE33F0">
      <w:pPr>
        <w:spacing w:line="240" w:lineRule="auto"/>
        <w:rPr>
          <w:rFonts w:ascii="Verdana" w:hAnsi="Verdana"/>
          <w:sz w:val="24"/>
          <w:szCs w:val="24"/>
        </w:rPr>
      </w:pPr>
    </w:p>
    <w:p w14:paraId="14064A7A" w14:textId="1AD55956" w:rsidR="004F098C" w:rsidRPr="00F7205F" w:rsidRDefault="004F098C" w:rsidP="00BE33F0">
      <w:pPr>
        <w:spacing w:line="240" w:lineRule="auto"/>
        <w:rPr>
          <w:rFonts w:ascii="Verdana" w:hAnsi="Verdana"/>
          <w:sz w:val="24"/>
          <w:szCs w:val="24"/>
        </w:rPr>
      </w:pPr>
      <w:r w:rsidRPr="00F7205F">
        <w:rPr>
          <w:rFonts w:ascii="Verdana" w:hAnsi="Verdana"/>
          <w:sz w:val="24"/>
          <w:szCs w:val="24"/>
        </w:rPr>
        <w:lastRenderedPageBreak/>
        <w:t>Kindly refer to your supplementary order disposing our objections. Essentially, following conclusions are drawn in the said order:</w:t>
      </w:r>
    </w:p>
    <w:p w14:paraId="05D10100" w14:textId="4369CC52" w:rsidR="004F098C" w:rsidRPr="00F7205F" w:rsidRDefault="004F098C" w:rsidP="004F098C">
      <w:pPr>
        <w:pStyle w:val="ListParagraph"/>
        <w:numPr>
          <w:ilvl w:val="0"/>
          <w:numId w:val="2"/>
        </w:numPr>
        <w:rPr>
          <w:rFonts w:ascii="Verdana" w:hAnsi="Verdana"/>
          <w:sz w:val="24"/>
          <w:szCs w:val="24"/>
        </w:rPr>
      </w:pPr>
      <w:r w:rsidRPr="00F7205F">
        <w:rPr>
          <w:rFonts w:ascii="Verdana" w:hAnsi="Verdana"/>
          <w:sz w:val="24"/>
          <w:szCs w:val="24"/>
        </w:rPr>
        <w:t>Proceedings under section 147 of the Income-tax Act, 1961 (In short, “the Act”) with the issue of notice under section 148 of the Act are valid proceedings;</w:t>
      </w:r>
    </w:p>
    <w:p w14:paraId="1F197337" w14:textId="530ADF1F" w:rsidR="004F098C" w:rsidRPr="00F7205F" w:rsidRDefault="004F098C" w:rsidP="004F098C">
      <w:pPr>
        <w:pStyle w:val="ListParagraph"/>
        <w:numPr>
          <w:ilvl w:val="0"/>
          <w:numId w:val="2"/>
        </w:numPr>
        <w:rPr>
          <w:rFonts w:ascii="Verdana" w:hAnsi="Verdana"/>
          <w:sz w:val="24"/>
          <w:szCs w:val="24"/>
        </w:rPr>
      </w:pPr>
      <w:r w:rsidRPr="00F7205F">
        <w:rPr>
          <w:rFonts w:ascii="Verdana" w:hAnsi="Verdana"/>
          <w:sz w:val="24"/>
          <w:szCs w:val="24"/>
        </w:rPr>
        <w:t>Document in the form of loose sheet with transactions recorded is provided;</w:t>
      </w:r>
    </w:p>
    <w:p w14:paraId="6D370E72" w14:textId="77777777" w:rsidR="004F098C" w:rsidRPr="00F7205F" w:rsidRDefault="004F098C" w:rsidP="004F098C">
      <w:pPr>
        <w:pStyle w:val="ListParagraph"/>
        <w:numPr>
          <w:ilvl w:val="0"/>
          <w:numId w:val="2"/>
        </w:numPr>
        <w:rPr>
          <w:rFonts w:ascii="Verdana" w:hAnsi="Verdana"/>
          <w:sz w:val="24"/>
          <w:szCs w:val="24"/>
        </w:rPr>
      </w:pPr>
      <w:r w:rsidRPr="00F7205F">
        <w:rPr>
          <w:rFonts w:ascii="Verdana" w:hAnsi="Verdana"/>
          <w:sz w:val="24"/>
          <w:szCs w:val="24"/>
        </w:rPr>
        <w:t>Relevant extract of the statement of Shri Rajal N Ashar is provided;</w:t>
      </w:r>
    </w:p>
    <w:p w14:paraId="4CD0483F" w14:textId="4708F87B" w:rsidR="004F098C" w:rsidRPr="00F7205F" w:rsidRDefault="004F098C" w:rsidP="004F098C">
      <w:pPr>
        <w:pStyle w:val="ListParagraph"/>
        <w:numPr>
          <w:ilvl w:val="0"/>
          <w:numId w:val="2"/>
        </w:numPr>
        <w:rPr>
          <w:rFonts w:ascii="Verdana" w:hAnsi="Verdana"/>
          <w:sz w:val="24"/>
          <w:szCs w:val="24"/>
        </w:rPr>
      </w:pPr>
      <w:r w:rsidRPr="00F7205F">
        <w:rPr>
          <w:rFonts w:ascii="Verdana" w:hAnsi="Verdana"/>
          <w:sz w:val="24"/>
          <w:szCs w:val="24"/>
        </w:rPr>
        <w:t>Standard format recording approval of the Competent Authority is enclosed;</w:t>
      </w:r>
    </w:p>
    <w:p w14:paraId="3DF04EBA" w14:textId="55B8F5B1" w:rsidR="004F098C" w:rsidRPr="00F7205F" w:rsidRDefault="009315E4" w:rsidP="004F098C">
      <w:pPr>
        <w:pStyle w:val="ListParagraph"/>
        <w:numPr>
          <w:ilvl w:val="0"/>
          <w:numId w:val="2"/>
        </w:numPr>
        <w:rPr>
          <w:rFonts w:ascii="Verdana" w:hAnsi="Verdana"/>
          <w:sz w:val="24"/>
          <w:szCs w:val="24"/>
        </w:rPr>
      </w:pPr>
      <w:r w:rsidRPr="00F7205F">
        <w:rPr>
          <w:rFonts w:ascii="Verdana" w:hAnsi="Verdana"/>
          <w:sz w:val="24"/>
          <w:szCs w:val="24"/>
        </w:rPr>
        <w:t>Distinction is drawn on the facts and the circumstances existing in the case of SABH Infrastructure are distinguishable and decision being not of jurisdictional High Court does not require to be followed;</w:t>
      </w:r>
    </w:p>
    <w:p w14:paraId="6470C817" w14:textId="60BD54A1" w:rsidR="009315E4" w:rsidRPr="00F7205F" w:rsidRDefault="009315E4" w:rsidP="004F098C">
      <w:pPr>
        <w:pStyle w:val="ListParagraph"/>
        <w:numPr>
          <w:ilvl w:val="0"/>
          <w:numId w:val="2"/>
        </w:numPr>
        <w:rPr>
          <w:rFonts w:ascii="Verdana" w:hAnsi="Verdana"/>
          <w:sz w:val="24"/>
          <w:szCs w:val="24"/>
        </w:rPr>
      </w:pPr>
      <w:r w:rsidRPr="00F7205F">
        <w:rPr>
          <w:rFonts w:ascii="Verdana" w:hAnsi="Verdana"/>
          <w:sz w:val="24"/>
          <w:szCs w:val="24"/>
        </w:rPr>
        <w:t>There is live link present in the material and the reasons recorded;</w:t>
      </w:r>
    </w:p>
    <w:p w14:paraId="792377F1" w14:textId="2A7F54DA" w:rsidR="009315E4" w:rsidRPr="00F7205F" w:rsidRDefault="009315E4" w:rsidP="004F098C">
      <w:pPr>
        <w:pStyle w:val="ListParagraph"/>
        <w:numPr>
          <w:ilvl w:val="0"/>
          <w:numId w:val="2"/>
        </w:numPr>
        <w:rPr>
          <w:rFonts w:ascii="Verdana" w:hAnsi="Verdana"/>
          <w:sz w:val="24"/>
          <w:szCs w:val="24"/>
        </w:rPr>
      </w:pPr>
      <w:r w:rsidRPr="00F7205F">
        <w:rPr>
          <w:rFonts w:ascii="Verdana" w:hAnsi="Verdana"/>
          <w:sz w:val="24"/>
          <w:szCs w:val="24"/>
        </w:rPr>
        <w:t xml:space="preserve">Opportunity to cross-examine Shri Rajal N Ashar shall be considered at the time of assessment proceedings; and </w:t>
      </w:r>
    </w:p>
    <w:p w14:paraId="664970F5" w14:textId="4CC150F7" w:rsidR="009315E4" w:rsidRPr="00F7205F" w:rsidRDefault="009315E4" w:rsidP="004F098C">
      <w:pPr>
        <w:pStyle w:val="ListParagraph"/>
        <w:numPr>
          <w:ilvl w:val="0"/>
          <w:numId w:val="2"/>
        </w:numPr>
        <w:rPr>
          <w:rFonts w:ascii="Verdana" w:hAnsi="Verdana"/>
          <w:sz w:val="24"/>
          <w:szCs w:val="24"/>
        </w:rPr>
      </w:pPr>
      <w:r w:rsidRPr="00F7205F">
        <w:rPr>
          <w:rFonts w:ascii="Verdana" w:hAnsi="Verdana"/>
          <w:sz w:val="24"/>
          <w:szCs w:val="24"/>
        </w:rPr>
        <w:t>Other objections are decided in a pure mechanical manner.</w:t>
      </w:r>
    </w:p>
    <w:p w14:paraId="455E4672" w14:textId="096DEB55" w:rsidR="009315E4" w:rsidRPr="00F7205F" w:rsidRDefault="009315E4" w:rsidP="009315E4">
      <w:pPr>
        <w:rPr>
          <w:rFonts w:ascii="Verdana" w:hAnsi="Verdana"/>
          <w:sz w:val="24"/>
          <w:szCs w:val="24"/>
        </w:rPr>
      </w:pPr>
      <w:r w:rsidRPr="00F7205F">
        <w:rPr>
          <w:rFonts w:ascii="Verdana" w:hAnsi="Verdana"/>
          <w:sz w:val="24"/>
          <w:szCs w:val="24"/>
        </w:rPr>
        <w:t>In this regard, following submissions are made for your kind consideration:</w:t>
      </w:r>
    </w:p>
    <w:p w14:paraId="58E9E156" w14:textId="0B1A5EBF" w:rsidR="009315E4" w:rsidRPr="00F7205F" w:rsidRDefault="009315E4" w:rsidP="009315E4">
      <w:pPr>
        <w:pStyle w:val="ListParagraph"/>
        <w:numPr>
          <w:ilvl w:val="0"/>
          <w:numId w:val="3"/>
        </w:numPr>
        <w:rPr>
          <w:rFonts w:ascii="Verdana" w:hAnsi="Verdana"/>
          <w:sz w:val="24"/>
          <w:szCs w:val="24"/>
        </w:rPr>
      </w:pPr>
      <w:r w:rsidRPr="00F7205F">
        <w:rPr>
          <w:rFonts w:ascii="Verdana" w:hAnsi="Verdana"/>
          <w:sz w:val="24"/>
          <w:szCs w:val="24"/>
        </w:rPr>
        <w:t>The Standard format seeking approval and the re</w:t>
      </w:r>
      <w:r w:rsidR="00D52C67" w:rsidRPr="00F7205F">
        <w:rPr>
          <w:rFonts w:ascii="Verdana" w:hAnsi="Verdana"/>
          <w:sz w:val="24"/>
          <w:szCs w:val="24"/>
        </w:rPr>
        <w:t xml:space="preserve">cording of sanction is missing </w:t>
      </w:r>
      <w:r w:rsidRPr="00F7205F">
        <w:rPr>
          <w:rFonts w:ascii="Verdana" w:hAnsi="Verdana"/>
          <w:sz w:val="24"/>
          <w:szCs w:val="24"/>
        </w:rPr>
        <w:t>with your letter;</w:t>
      </w:r>
    </w:p>
    <w:p w14:paraId="51D63052" w14:textId="11F12CDF" w:rsidR="009315E4" w:rsidRPr="00F7205F" w:rsidRDefault="00A742BB" w:rsidP="009315E4">
      <w:pPr>
        <w:pStyle w:val="ListParagraph"/>
        <w:numPr>
          <w:ilvl w:val="0"/>
          <w:numId w:val="3"/>
        </w:numPr>
        <w:rPr>
          <w:rFonts w:ascii="Verdana" w:hAnsi="Verdana"/>
          <w:sz w:val="24"/>
          <w:szCs w:val="24"/>
        </w:rPr>
      </w:pPr>
      <w:r w:rsidRPr="00F7205F">
        <w:rPr>
          <w:rFonts w:ascii="Verdana" w:hAnsi="Verdana"/>
          <w:sz w:val="24"/>
          <w:szCs w:val="24"/>
        </w:rPr>
        <w:t>Regarding validity of proceedings under section 147/148 is concerned, we would wish to draw your kind attention to the relevant provisions</w:t>
      </w:r>
      <w:r w:rsidR="00D111B8" w:rsidRPr="00F7205F">
        <w:rPr>
          <w:rFonts w:ascii="Verdana" w:hAnsi="Verdana"/>
          <w:sz w:val="24"/>
          <w:szCs w:val="24"/>
        </w:rPr>
        <w:t xml:space="preserve"> as it stood for assessment year 2013-14 and</w:t>
      </w:r>
      <w:r w:rsidRPr="00F7205F">
        <w:rPr>
          <w:rFonts w:ascii="Verdana" w:hAnsi="Verdana"/>
          <w:sz w:val="24"/>
          <w:szCs w:val="24"/>
        </w:rPr>
        <w:t xml:space="preserve"> are reproduced as under:-</w:t>
      </w:r>
    </w:p>
    <w:p w14:paraId="6BDF221A" w14:textId="3AA0C29D" w:rsidR="00D111B8" w:rsidRPr="00F7205F" w:rsidRDefault="00D111B8" w:rsidP="00D111B8">
      <w:pPr>
        <w:ind w:left="360"/>
        <w:rPr>
          <w:rFonts w:ascii="Verdana" w:hAnsi="Verdana"/>
          <w:b/>
          <w:i/>
          <w:color w:val="000000"/>
          <w:sz w:val="24"/>
          <w:szCs w:val="24"/>
          <w:u w:val="single"/>
        </w:rPr>
      </w:pPr>
      <w:r w:rsidRPr="00F7205F">
        <w:rPr>
          <w:rFonts w:ascii="Verdana" w:hAnsi="Verdana"/>
          <w:b/>
          <w:i/>
          <w:sz w:val="24"/>
          <w:szCs w:val="24"/>
          <w:u w:val="single"/>
        </w:rPr>
        <w:t>“</w:t>
      </w:r>
      <w:r w:rsidRPr="00F7205F">
        <w:rPr>
          <w:rFonts w:ascii="Verdana" w:hAnsi="Verdana"/>
          <w:b/>
          <w:i/>
          <w:color w:val="000000"/>
          <w:sz w:val="24"/>
          <w:szCs w:val="24"/>
          <w:u w:val="single"/>
        </w:rPr>
        <w:t>153C.  </w:t>
      </w:r>
      <w:r w:rsidRPr="00F7205F">
        <w:rPr>
          <w:rFonts w:ascii="Verdana" w:hAnsi="Verdana"/>
          <w:b/>
          <w:i/>
          <w:iCs/>
          <w:color w:val="000000"/>
          <w:sz w:val="24"/>
          <w:szCs w:val="24"/>
          <w:u w:val="single"/>
        </w:rPr>
        <w:t>Assessment of income of any other person.</w:t>
      </w:r>
      <w:r w:rsidRPr="00F7205F">
        <w:rPr>
          <w:rFonts w:ascii="Verdana" w:hAnsi="Verdana"/>
          <w:b/>
          <w:i/>
          <w:color w:val="000000"/>
          <w:sz w:val="24"/>
          <w:szCs w:val="24"/>
          <w:u w:val="single"/>
        </w:rPr>
        <w:t>—Notwithstanding anything contained in section 139, section 147, section 148, section 149, section 151 and section 153, where the Assessing Officer is satisfied that any money, bullion, jewellery or other valuable article or thing or books of account or documents seized or requisitioned belongs or belong to a person other than the person referred to in section 153A, then the books of account or documents or assets seized or requisitioned shall be handed over to the Assessing Officer  having jurisdiction over such other person and that Assessing Officer shall proceed against each such other person and issue such other person notice and assess or reassess income of such other person in accordance with the provisions of section 153A.’.</w:t>
      </w:r>
    </w:p>
    <w:p w14:paraId="26528998" w14:textId="12E88023" w:rsidR="00F7205F" w:rsidRPr="00F7205F" w:rsidRDefault="00077C7A" w:rsidP="00F7205F">
      <w:pPr>
        <w:pStyle w:val="NormalWeb"/>
        <w:shd w:val="clear" w:color="auto" w:fill="FFFFFF"/>
        <w:spacing w:before="0" w:beforeAutospacing="0" w:after="0" w:afterAutospacing="0" w:line="360" w:lineRule="atLeast"/>
        <w:textAlignment w:val="baseline"/>
        <w:rPr>
          <w:rFonts w:ascii="Verdana" w:hAnsi="Verdana" w:cs="Arial"/>
          <w:color w:val="575757"/>
        </w:rPr>
      </w:pPr>
      <w:r w:rsidRPr="00F7205F">
        <w:rPr>
          <w:rStyle w:val="Strong"/>
          <w:rFonts w:ascii="Verdana" w:hAnsi="Verdana" w:cs="Arial"/>
          <w:color w:val="575757"/>
          <w:bdr w:val="none" w:sz="0" w:space="0" w:color="auto" w:frame="1"/>
          <w:shd w:val="clear" w:color="auto" w:fill="FFFFFF"/>
        </w:rPr>
        <w:t> </w:t>
      </w:r>
      <w:r w:rsidRPr="00F7205F">
        <w:rPr>
          <w:rStyle w:val="Strong"/>
          <w:rFonts w:ascii="Verdana" w:hAnsi="Verdana" w:cs="Arial"/>
          <w:b w:val="0"/>
          <w:color w:val="575757"/>
          <w:bdr w:val="none" w:sz="0" w:space="0" w:color="auto" w:frame="1"/>
          <w:shd w:val="clear" w:color="auto" w:fill="FFFFFF"/>
        </w:rPr>
        <w:t>Section 153C starts with non-obstante clause relating to normal assessment procedure covered by section 139, 147, 148, 149,151 and 153 in respect of searches made after 31st May, 2003.</w:t>
      </w:r>
      <w:r w:rsidR="00835F29" w:rsidRPr="00F7205F">
        <w:rPr>
          <w:rStyle w:val="Strong"/>
          <w:rFonts w:ascii="Verdana" w:hAnsi="Verdana" w:cs="Arial"/>
          <w:b w:val="0"/>
          <w:color w:val="575757"/>
          <w:bdr w:val="none" w:sz="0" w:space="0" w:color="auto" w:frame="1"/>
          <w:shd w:val="clear" w:color="auto" w:fill="FFFFFF"/>
        </w:rPr>
        <w:t xml:space="preserve"> </w:t>
      </w:r>
      <w:r w:rsidR="00835F29" w:rsidRPr="00F7205F">
        <w:rPr>
          <w:rFonts w:ascii="Verdana" w:hAnsi="Verdana" w:cs="Arial"/>
          <w:color w:val="575757"/>
          <w:shd w:val="clear" w:color="auto" w:fill="FFFFFF"/>
        </w:rPr>
        <w:t xml:space="preserve">Once the section 153C is triggered, it is mandatory for the Assessing Officer to issue notice </w:t>
      </w:r>
      <w:r w:rsidR="00835F29" w:rsidRPr="00F7205F">
        <w:rPr>
          <w:rFonts w:ascii="Verdana" w:hAnsi="Verdana" w:cs="Arial"/>
          <w:color w:val="575757"/>
          <w:shd w:val="clear" w:color="auto" w:fill="FFFFFF"/>
        </w:rPr>
        <w:lastRenderedPageBreak/>
        <w:t>calling upon the assessee to file returns for the six assessment years prior to the year in which the search on took place. If the interpretation as per the doctrine of harmonious construction is accepted, it will mean that during pendency of assessment proceedings under Section153C, separate proceedings under Section 148 may be initiated for making assessment of escaped income, discovered otherwise, than during the  course of search. However, the doctrine of harmonious construction cannot be made applicable in the case of assessment under section 153C. It is a settled position that once proceedings under Section 153C are initiated, then no parallel proceedings under Section 143(3)/147 can be made. Thus, once the conditions as mentioned in the said section are satisfied, then the only route available with AO is to make assessment under section 153Cnot under section 147.Therefore, if the AO has reopened proceedings under section 147 instead of section 153C, in that case the assessment made under 147 will be annulled .The same view has been taken by the various court</w:t>
      </w:r>
      <w:r w:rsidR="00F7205F" w:rsidRPr="00F7205F">
        <w:rPr>
          <w:rFonts w:ascii="Verdana" w:hAnsi="Verdana" w:cs="Arial"/>
          <w:color w:val="575757"/>
          <w:shd w:val="clear" w:color="auto" w:fill="FFFFFF"/>
        </w:rPr>
        <w:t xml:space="preserve">s in the favour of the assessee that where </w:t>
      </w:r>
      <w:r w:rsidR="00F7205F" w:rsidRPr="00F7205F">
        <w:rPr>
          <w:rFonts w:ascii="Verdana" w:hAnsi="Verdana" w:cs="Arial"/>
          <w:color w:val="575757"/>
        </w:rPr>
        <w:t xml:space="preserve">the AO has reopened proceedings under section 147 instead of section 153C, in that case the assessment made under 147 will be annulled .The same view has been taken </w:t>
      </w:r>
      <w:r w:rsidR="00F7205F" w:rsidRPr="00F7205F">
        <w:rPr>
          <w:rFonts w:ascii="Verdana" w:hAnsi="Verdana" w:cs="Arial"/>
          <w:color w:val="575757"/>
        </w:rPr>
        <w:t>in following decisions:-</w:t>
      </w:r>
    </w:p>
    <w:p w14:paraId="47754C48" w14:textId="77777777" w:rsidR="00F7205F" w:rsidRPr="00F7205F" w:rsidRDefault="00F7205F" w:rsidP="00F7205F">
      <w:pPr>
        <w:pStyle w:val="NormalWeb"/>
        <w:shd w:val="clear" w:color="auto" w:fill="FFFFFF"/>
        <w:spacing w:before="0" w:beforeAutospacing="0" w:after="0" w:afterAutospacing="0" w:line="360" w:lineRule="atLeast"/>
        <w:textAlignment w:val="baseline"/>
        <w:rPr>
          <w:rFonts w:ascii="Verdana" w:hAnsi="Verdana" w:cs="Arial"/>
          <w:color w:val="575757"/>
        </w:rPr>
      </w:pPr>
      <w:r w:rsidRPr="00F7205F">
        <w:rPr>
          <w:rStyle w:val="Emphasis"/>
          <w:rFonts w:ascii="Verdana" w:hAnsi="Verdana" w:cs="Arial"/>
          <w:color w:val="575757"/>
          <w:bdr w:val="none" w:sz="0" w:space="0" w:color="auto" w:frame="1"/>
        </w:rPr>
        <w:t>1[2015] 64 taxmann.com 15) </w:t>
      </w:r>
      <w:r w:rsidRPr="00F7205F">
        <w:rPr>
          <w:rStyle w:val="Emphasis"/>
          <w:rFonts w:ascii="Verdana" w:hAnsi="Verdana" w:cs="Arial"/>
          <w:b/>
          <w:bCs/>
          <w:color w:val="575757"/>
          <w:bdr w:val="none" w:sz="0" w:space="0" w:color="auto" w:frame="1"/>
        </w:rPr>
        <w:t>G. KOTESWARA RAO AND OTHERS VERSUS DCIT</w:t>
      </w:r>
      <w:r w:rsidRPr="00F7205F">
        <w:rPr>
          <w:rFonts w:ascii="Verdana" w:hAnsi="Verdana" w:cs="Arial"/>
          <w:color w:val="575757"/>
        </w:rPr>
        <w:br/>
      </w:r>
      <w:r w:rsidRPr="00F7205F">
        <w:rPr>
          <w:rStyle w:val="Emphasis"/>
          <w:rFonts w:ascii="Verdana" w:hAnsi="Verdana" w:cs="Arial"/>
          <w:color w:val="575757"/>
          <w:bdr w:val="none" w:sz="0" w:space="0" w:color="auto" w:frame="1"/>
        </w:rPr>
        <w:t>12020 (4) TMI 289</w:t>
      </w:r>
      <w:r w:rsidRPr="00F7205F">
        <w:rPr>
          <w:rStyle w:val="Emphasis"/>
          <w:rFonts w:ascii="Verdana" w:hAnsi="Verdana" w:cs="Arial"/>
          <w:b/>
          <w:bCs/>
          <w:color w:val="575757"/>
          <w:bdr w:val="none" w:sz="0" w:space="0" w:color="auto" w:frame="1"/>
        </w:rPr>
        <w:t> – ITAT DELHI – M/S. SAURASHTRA COLOR TONES PVT. LTD. V. ITO</w:t>
      </w:r>
      <w:r w:rsidRPr="00F7205F">
        <w:rPr>
          <w:rFonts w:ascii="Verdana" w:hAnsi="Verdana" w:cs="Arial"/>
          <w:color w:val="575757"/>
        </w:rPr>
        <w:br/>
      </w:r>
      <w:r w:rsidRPr="00F7205F">
        <w:rPr>
          <w:rStyle w:val="Emphasis"/>
          <w:rFonts w:ascii="Verdana" w:hAnsi="Verdana" w:cs="Arial"/>
          <w:b/>
          <w:bCs/>
          <w:color w:val="575757"/>
          <w:bdr w:val="none" w:sz="0" w:space="0" w:color="auto" w:frame="1"/>
        </w:rPr>
        <w:t>1</w:t>
      </w:r>
      <w:r w:rsidRPr="00F7205F">
        <w:rPr>
          <w:rStyle w:val="Emphasis"/>
          <w:rFonts w:ascii="Verdana" w:hAnsi="Verdana" w:cs="Arial"/>
          <w:color w:val="575757"/>
          <w:bdr w:val="none" w:sz="0" w:space="0" w:color="auto" w:frame="1"/>
        </w:rPr>
        <w:t>[2015] 61 taxmann.com 50 (Pune – Trib.)</w:t>
      </w:r>
      <w:r w:rsidRPr="00F7205F">
        <w:rPr>
          <w:rStyle w:val="Emphasis"/>
          <w:rFonts w:ascii="Verdana" w:hAnsi="Verdana" w:cs="Arial"/>
          <w:b/>
          <w:bCs/>
          <w:color w:val="575757"/>
          <w:bdr w:val="none" w:sz="0" w:space="0" w:color="auto" w:frame="1"/>
        </w:rPr>
        <w:t>ACIT VERSUS SHRI RADHESHYAM B. AGRAWAL</w:t>
      </w:r>
      <w:r w:rsidRPr="00F7205F">
        <w:rPr>
          <w:rFonts w:ascii="Verdana" w:hAnsi="Verdana" w:cs="Arial"/>
          <w:color w:val="575757"/>
        </w:rPr>
        <w:br/>
      </w:r>
      <w:r w:rsidRPr="00F7205F">
        <w:rPr>
          <w:rStyle w:val="Emphasis"/>
          <w:rFonts w:ascii="Verdana" w:hAnsi="Verdana" w:cs="Arial"/>
          <w:b/>
          <w:bCs/>
          <w:color w:val="575757"/>
          <w:bdr w:val="none" w:sz="0" w:space="0" w:color="auto" w:frame="1"/>
        </w:rPr>
        <w:t>12018 (11) TMI 1736 – ITAT DELHI – SH. GIRISH CHANDRA SHARMA VERSUS ITO</w:t>
      </w:r>
      <w:r w:rsidRPr="00F7205F">
        <w:rPr>
          <w:rFonts w:ascii="Verdana" w:hAnsi="Verdana" w:cs="Arial"/>
          <w:color w:val="575757"/>
        </w:rPr>
        <w:br/>
      </w:r>
      <w:r w:rsidRPr="00F7205F">
        <w:rPr>
          <w:rStyle w:val="Emphasis"/>
          <w:rFonts w:ascii="Verdana" w:hAnsi="Verdana" w:cs="Arial"/>
          <w:b/>
          <w:bCs/>
          <w:color w:val="575757"/>
          <w:bdr w:val="none" w:sz="0" w:space="0" w:color="auto" w:frame="1"/>
        </w:rPr>
        <w:t>1</w:t>
      </w:r>
      <w:r w:rsidRPr="00F7205F">
        <w:rPr>
          <w:rStyle w:val="Emphasis"/>
          <w:rFonts w:ascii="Verdana" w:hAnsi="Verdana" w:cs="Arial"/>
          <w:color w:val="575757"/>
          <w:bdr w:val="none" w:sz="0" w:space="0" w:color="auto" w:frame="1"/>
        </w:rPr>
        <w:t>[2011] 16 taxmann.com 373 (Amritsar) ITO</w:t>
      </w:r>
      <w:r w:rsidRPr="00F7205F">
        <w:rPr>
          <w:rStyle w:val="Emphasis"/>
          <w:rFonts w:ascii="Verdana" w:hAnsi="Verdana" w:cs="Arial"/>
          <w:b/>
          <w:bCs/>
          <w:color w:val="575757"/>
          <w:bdr w:val="none" w:sz="0" w:space="0" w:color="auto" w:frame="1"/>
        </w:rPr>
        <w:t>VERSUS ARUN KUMAR KAPOOR</w:t>
      </w:r>
      <w:r w:rsidRPr="00F7205F">
        <w:rPr>
          <w:rFonts w:ascii="Verdana" w:hAnsi="Verdana" w:cs="Arial"/>
          <w:color w:val="575757"/>
        </w:rPr>
        <w:br/>
      </w:r>
      <w:r w:rsidRPr="00F7205F">
        <w:rPr>
          <w:rStyle w:val="Emphasis"/>
          <w:rFonts w:ascii="Verdana" w:hAnsi="Verdana" w:cs="Arial"/>
          <w:color w:val="575757"/>
          <w:bdr w:val="none" w:sz="0" w:space="0" w:color="auto" w:frame="1"/>
        </w:rPr>
        <w:t>1[2014] 42 taxmann.com 376 (Chhattisgarh) ACIT v. Sunil Kumar Jain</w:t>
      </w:r>
      <w:r w:rsidRPr="00F7205F">
        <w:rPr>
          <w:rFonts w:ascii="Verdana" w:hAnsi="Verdana" w:cs="Arial"/>
          <w:color w:val="575757"/>
        </w:rPr>
        <w:br/>
      </w:r>
      <w:r w:rsidRPr="00F7205F">
        <w:rPr>
          <w:rStyle w:val="Emphasis"/>
          <w:rFonts w:ascii="Verdana" w:hAnsi="Verdana" w:cs="Arial"/>
          <w:b/>
          <w:bCs/>
          <w:color w:val="575757"/>
          <w:bdr w:val="none" w:sz="0" w:space="0" w:color="auto" w:frame="1"/>
        </w:rPr>
        <w:t>12016 (7) TMI 258 – ITAT DELHI- RAJAT SHUBRA CHATTERJI VERSUS ACIT</w:t>
      </w:r>
      <w:r w:rsidRPr="00F7205F">
        <w:rPr>
          <w:rFonts w:ascii="Verdana" w:hAnsi="Verdana" w:cs="Arial"/>
          <w:color w:val="575757"/>
        </w:rPr>
        <w:br/>
      </w:r>
      <w:r w:rsidRPr="00F7205F">
        <w:rPr>
          <w:rStyle w:val="Emphasis"/>
          <w:rFonts w:ascii="Verdana" w:hAnsi="Verdana" w:cs="Arial"/>
          <w:color w:val="575757"/>
          <w:bdr w:val="none" w:sz="0" w:space="0" w:color="auto" w:frame="1"/>
        </w:rPr>
        <w:t>1[2014] 45 taxmann.com 468 (Rajasthan) Mukesh Modi v. DCIT</w:t>
      </w:r>
      <w:r w:rsidRPr="00F7205F">
        <w:rPr>
          <w:rFonts w:ascii="Verdana" w:hAnsi="Verdana" w:cs="Arial"/>
          <w:color w:val="575757"/>
        </w:rPr>
        <w:br/>
      </w:r>
      <w:r w:rsidRPr="00F7205F">
        <w:rPr>
          <w:rStyle w:val="Emphasis"/>
          <w:rFonts w:ascii="Verdana" w:hAnsi="Verdana" w:cs="Arial"/>
          <w:b/>
          <w:bCs/>
          <w:color w:val="575757"/>
          <w:bdr w:val="none" w:sz="0" w:space="0" w:color="auto" w:frame="1"/>
        </w:rPr>
        <w:t>12012 (9) TMI 1109 – ITAT AMRITSAR- ITO vs. SURINDER SINGH</w:t>
      </w:r>
      <w:r w:rsidRPr="00F7205F">
        <w:rPr>
          <w:rFonts w:ascii="Verdana" w:hAnsi="Verdana" w:cs="Arial"/>
          <w:color w:val="575757"/>
        </w:rPr>
        <w:br/>
      </w:r>
      <w:r w:rsidRPr="00F7205F">
        <w:rPr>
          <w:rStyle w:val="Emphasis"/>
          <w:rFonts w:ascii="Verdana" w:hAnsi="Verdana" w:cs="Arial"/>
          <w:b/>
          <w:bCs/>
          <w:color w:val="575757"/>
          <w:bdr w:val="none" w:sz="0" w:space="0" w:color="auto" w:frame="1"/>
        </w:rPr>
        <w:t>1</w:t>
      </w:r>
      <w:r w:rsidRPr="00F7205F">
        <w:rPr>
          <w:rStyle w:val="Emphasis"/>
          <w:rFonts w:ascii="Verdana" w:hAnsi="Verdana" w:cs="Arial"/>
          <w:color w:val="575757"/>
          <w:bdr w:val="none" w:sz="0" w:space="0" w:color="auto" w:frame="1"/>
        </w:rPr>
        <w:t>[2012] 26 taxmann.com 185 (Agra)</w:t>
      </w:r>
      <w:r w:rsidRPr="00F7205F">
        <w:rPr>
          <w:rStyle w:val="Emphasis"/>
          <w:rFonts w:ascii="Verdana" w:hAnsi="Verdana" w:cs="Arial"/>
          <w:b/>
          <w:bCs/>
          <w:color w:val="575757"/>
          <w:bdr w:val="none" w:sz="0" w:space="0" w:color="auto" w:frame="1"/>
        </w:rPr>
        <w:t>ACIT – 6, JHANSI VERSUS VIDIT KUMAR AGARWAL</w:t>
      </w:r>
    </w:p>
    <w:p w14:paraId="31905E8C" w14:textId="08159904" w:rsidR="00077C7A" w:rsidRPr="00F7205F" w:rsidRDefault="00F7205F" w:rsidP="00D111B8">
      <w:pPr>
        <w:ind w:left="360"/>
        <w:rPr>
          <w:rFonts w:ascii="Verdana" w:hAnsi="Verdana" w:cs="Arial"/>
          <w:color w:val="575757"/>
          <w:sz w:val="24"/>
          <w:szCs w:val="24"/>
          <w:shd w:val="clear" w:color="auto" w:fill="FFFFFF"/>
        </w:rPr>
      </w:pPr>
      <w:r w:rsidRPr="00F7205F">
        <w:rPr>
          <w:rFonts w:ascii="Verdana" w:hAnsi="Verdana" w:cs="Arial"/>
          <w:color w:val="575757"/>
          <w:sz w:val="24"/>
          <w:szCs w:val="24"/>
          <w:shd w:val="clear" w:color="auto" w:fill="FFFFFF"/>
        </w:rPr>
        <w:t xml:space="preserve"> </w:t>
      </w:r>
      <w:r w:rsidR="00835F29" w:rsidRPr="00F7205F">
        <w:rPr>
          <w:rFonts w:ascii="Verdana" w:hAnsi="Verdana" w:cs="Arial"/>
          <w:color w:val="575757"/>
          <w:sz w:val="24"/>
          <w:szCs w:val="24"/>
          <w:shd w:val="clear" w:color="auto" w:fill="FFFFFF"/>
        </w:rPr>
        <w:t>.</w:t>
      </w:r>
    </w:p>
    <w:p w14:paraId="014FEDA8" w14:textId="30DF6CA2" w:rsidR="00835F29" w:rsidRPr="00F7205F" w:rsidRDefault="00835F29" w:rsidP="00D111B8">
      <w:pPr>
        <w:ind w:left="360"/>
        <w:rPr>
          <w:rFonts w:ascii="Verdana" w:hAnsi="Verdana" w:cs="Arial"/>
          <w:color w:val="575757"/>
          <w:sz w:val="24"/>
          <w:szCs w:val="24"/>
          <w:shd w:val="clear" w:color="auto" w:fill="FFFFFF"/>
        </w:rPr>
      </w:pPr>
      <w:r w:rsidRPr="00F7205F">
        <w:rPr>
          <w:rFonts w:ascii="Verdana" w:hAnsi="Verdana" w:cs="Arial"/>
          <w:color w:val="575757"/>
          <w:sz w:val="24"/>
          <w:szCs w:val="24"/>
          <w:shd w:val="clear" w:color="auto" w:fill="FFFFFF"/>
        </w:rPr>
        <w:t xml:space="preserve">It is beyond one’s </w:t>
      </w:r>
      <w:r w:rsidR="003226C9">
        <w:rPr>
          <w:rFonts w:ascii="Verdana" w:hAnsi="Verdana" w:cs="Arial"/>
          <w:color w:val="575757"/>
          <w:sz w:val="24"/>
          <w:szCs w:val="24"/>
          <w:shd w:val="clear" w:color="auto" w:fill="FFFFFF"/>
        </w:rPr>
        <w:t>doubt</w:t>
      </w:r>
      <w:r w:rsidRPr="00F7205F">
        <w:rPr>
          <w:rFonts w:ascii="Verdana" w:hAnsi="Verdana" w:cs="Arial"/>
          <w:color w:val="575757"/>
          <w:sz w:val="24"/>
          <w:szCs w:val="24"/>
          <w:shd w:val="clear" w:color="auto" w:fill="FFFFFF"/>
        </w:rPr>
        <w:t xml:space="preserve"> that in the present case:</w:t>
      </w:r>
    </w:p>
    <w:p w14:paraId="3971FB91" w14:textId="3EFE8928" w:rsidR="00835F29" w:rsidRPr="00F7205F" w:rsidRDefault="00835F29" w:rsidP="00835F29">
      <w:pPr>
        <w:pStyle w:val="ListParagraph"/>
        <w:numPr>
          <w:ilvl w:val="0"/>
          <w:numId w:val="4"/>
        </w:numPr>
        <w:rPr>
          <w:rFonts w:ascii="Verdana" w:hAnsi="Verdana"/>
          <w:sz w:val="24"/>
          <w:szCs w:val="24"/>
        </w:rPr>
      </w:pPr>
      <w:r w:rsidRPr="00F7205F">
        <w:rPr>
          <w:rFonts w:ascii="Verdana" w:hAnsi="Verdana"/>
          <w:sz w:val="24"/>
          <w:szCs w:val="24"/>
        </w:rPr>
        <w:lastRenderedPageBreak/>
        <w:t>There was search under section 132 of the Act on the premises of Shri Rajal N Ashar</w:t>
      </w:r>
      <w:r w:rsidR="00204240">
        <w:rPr>
          <w:rFonts w:ascii="Verdana" w:hAnsi="Verdana"/>
          <w:sz w:val="24"/>
          <w:szCs w:val="24"/>
        </w:rPr>
        <w:t xml:space="preserve"> and the’ impuned’ document was found in his premises during search</w:t>
      </w:r>
      <w:r w:rsidRPr="00F7205F">
        <w:rPr>
          <w:rFonts w:ascii="Verdana" w:hAnsi="Verdana"/>
          <w:sz w:val="24"/>
          <w:szCs w:val="24"/>
        </w:rPr>
        <w:t>;</w:t>
      </w:r>
    </w:p>
    <w:p w14:paraId="4589B720" w14:textId="4270AFD3" w:rsidR="00835F29" w:rsidRDefault="00835F29" w:rsidP="00835F29">
      <w:pPr>
        <w:pStyle w:val="ListParagraph"/>
        <w:numPr>
          <w:ilvl w:val="0"/>
          <w:numId w:val="4"/>
        </w:numPr>
        <w:rPr>
          <w:rFonts w:ascii="Verdana" w:hAnsi="Verdana"/>
          <w:sz w:val="24"/>
          <w:szCs w:val="24"/>
        </w:rPr>
      </w:pPr>
      <w:r w:rsidRPr="00F7205F">
        <w:rPr>
          <w:rFonts w:ascii="Verdana" w:hAnsi="Verdana"/>
          <w:sz w:val="24"/>
          <w:szCs w:val="24"/>
        </w:rPr>
        <w:t>The loose sheet admittedly belonged to him;</w:t>
      </w:r>
    </w:p>
    <w:p w14:paraId="45E0A277" w14:textId="3814D43F" w:rsidR="00204240" w:rsidRPr="00F7205F" w:rsidRDefault="00204240" w:rsidP="00835F29">
      <w:pPr>
        <w:pStyle w:val="ListParagraph"/>
        <w:numPr>
          <w:ilvl w:val="0"/>
          <w:numId w:val="4"/>
        </w:numPr>
        <w:rPr>
          <w:rFonts w:ascii="Verdana" w:hAnsi="Verdana"/>
          <w:sz w:val="24"/>
          <w:szCs w:val="24"/>
        </w:rPr>
      </w:pPr>
      <w:r>
        <w:rPr>
          <w:rFonts w:ascii="Verdana" w:hAnsi="Verdana"/>
          <w:sz w:val="24"/>
          <w:szCs w:val="24"/>
        </w:rPr>
        <w:t>He has offered the transaction recorded therein as his income in the course of search;</w:t>
      </w:r>
    </w:p>
    <w:p w14:paraId="384ECF3A" w14:textId="2BC10910" w:rsidR="00835F29" w:rsidRPr="00F7205F" w:rsidRDefault="00835F29" w:rsidP="00835F29">
      <w:pPr>
        <w:pStyle w:val="ListParagraph"/>
        <w:numPr>
          <w:ilvl w:val="0"/>
          <w:numId w:val="4"/>
        </w:numPr>
        <w:rPr>
          <w:rFonts w:ascii="Verdana" w:hAnsi="Verdana"/>
          <w:sz w:val="24"/>
          <w:szCs w:val="24"/>
        </w:rPr>
      </w:pPr>
      <w:r w:rsidRPr="00F7205F">
        <w:rPr>
          <w:rFonts w:ascii="Verdana" w:hAnsi="Verdana"/>
          <w:sz w:val="24"/>
          <w:szCs w:val="24"/>
        </w:rPr>
        <w:t>The said sheet is a typed one;</w:t>
      </w:r>
    </w:p>
    <w:p w14:paraId="664CCF7E" w14:textId="121F375A" w:rsidR="00835F29" w:rsidRPr="00F7205F" w:rsidRDefault="00835F29" w:rsidP="00835F29">
      <w:pPr>
        <w:pStyle w:val="ListParagraph"/>
        <w:numPr>
          <w:ilvl w:val="0"/>
          <w:numId w:val="4"/>
        </w:numPr>
        <w:rPr>
          <w:rFonts w:ascii="Verdana" w:hAnsi="Verdana"/>
          <w:sz w:val="24"/>
          <w:szCs w:val="24"/>
        </w:rPr>
      </w:pPr>
      <w:r w:rsidRPr="00F7205F">
        <w:rPr>
          <w:rFonts w:ascii="Verdana" w:hAnsi="Verdana"/>
          <w:sz w:val="24"/>
          <w:szCs w:val="24"/>
        </w:rPr>
        <w:t>BMC, the abbreviation which is available on the sheet is written in pencil</w:t>
      </w:r>
      <w:r w:rsidR="00204240">
        <w:rPr>
          <w:rFonts w:ascii="Verdana" w:hAnsi="Verdana"/>
          <w:sz w:val="24"/>
          <w:szCs w:val="24"/>
        </w:rPr>
        <w:t xml:space="preserve"> which can be treated as his attempt to save himself and attribute the transactions on some person other than himself</w:t>
      </w:r>
      <w:r w:rsidRPr="00F7205F">
        <w:rPr>
          <w:rFonts w:ascii="Verdana" w:hAnsi="Verdana"/>
          <w:sz w:val="24"/>
          <w:szCs w:val="24"/>
        </w:rPr>
        <w:t>;</w:t>
      </w:r>
    </w:p>
    <w:p w14:paraId="47B4D28C" w14:textId="5A725C68" w:rsidR="00835F29" w:rsidRPr="00F7205F" w:rsidRDefault="00835F29" w:rsidP="00835F29">
      <w:pPr>
        <w:pStyle w:val="ListParagraph"/>
        <w:numPr>
          <w:ilvl w:val="0"/>
          <w:numId w:val="4"/>
        </w:numPr>
        <w:rPr>
          <w:rFonts w:ascii="Verdana" w:hAnsi="Verdana"/>
          <w:sz w:val="24"/>
          <w:szCs w:val="24"/>
        </w:rPr>
      </w:pPr>
      <w:r w:rsidRPr="00F7205F">
        <w:rPr>
          <w:rFonts w:ascii="Verdana" w:hAnsi="Verdana"/>
          <w:sz w:val="24"/>
          <w:szCs w:val="24"/>
        </w:rPr>
        <w:t>The assessee was a pancha witness in the course of search proceedings under section 132 of the Act;</w:t>
      </w:r>
    </w:p>
    <w:p w14:paraId="5F805CBB" w14:textId="267DA107" w:rsidR="00835F29" w:rsidRPr="00F7205F" w:rsidRDefault="00835F29" w:rsidP="00835F29">
      <w:pPr>
        <w:pStyle w:val="ListParagraph"/>
        <w:numPr>
          <w:ilvl w:val="0"/>
          <w:numId w:val="4"/>
        </w:numPr>
        <w:rPr>
          <w:rFonts w:ascii="Verdana" w:hAnsi="Verdana"/>
          <w:sz w:val="24"/>
          <w:szCs w:val="24"/>
        </w:rPr>
      </w:pPr>
      <w:r w:rsidRPr="00F7205F">
        <w:rPr>
          <w:rFonts w:ascii="Verdana" w:hAnsi="Verdana"/>
          <w:sz w:val="24"/>
          <w:szCs w:val="24"/>
        </w:rPr>
        <w:t xml:space="preserve">If the abbreviation “BMC” is related to the assessee, Shri Ashar could state that BMC means the assessee who could have been examined then and there to find out the </w:t>
      </w:r>
      <w:r w:rsidR="00204240" w:rsidRPr="00F7205F">
        <w:rPr>
          <w:rFonts w:ascii="Verdana" w:hAnsi="Verdana"/>
          <w:sz w:val="24"/>
          <w:szCs w:val="24"/>
        </w:rPr>
        <w:t>truth</w:t>
      </w:r>
      <w:bookmarkStart w:id="0" w:name="_GoBack"/>
      <w:bookmarkEnd w:id="0"/>
      <w:r w:rsidRPr="00F7205F">
        <w:rPr>
          <w:rFonts w:ascii="Verdana" w:hAnsi="Verdana"/>
          <w:sz w:val="24"/>
          <w:szCs w:val="24"/>
        </w:rPr>
        <w:t>;</w:t>
      </w:r>
    </w:p>
    <w:p w14:paraId="5B8E5C33" w14:textId="483365F7" w:rsidR="00835F29" w:rsidRPr="00F7205F" w:rsidRDefault="00835F29" w:rsidP="00835F29">
      <w:pPr>
        <w:pStyle w:val="ListParagraph"/>
        <w:numPr>
          <w:ilvl w:val="0"/>
          <w:numId w:val="4"/>
        </w:numPr>
        <w:rPr>
          <w:rFonts w:ascii="Verdana" w:hAnsi="Verdana"/>
          <w:sz w:val="24"/>
          <w:szCs w:val="24"/>
        </w:rPr>
      </w:pPr>
      <w:r w:rsidRPr="00F7205F">
        <w:rPr>
          <w:rFonts w:ascii="Verdana" w:hAnsi="Verdana"/>
          <w:sz w:val="24"/>
          <w:szCs w:val="24"/>
        </w:rPr>
        <w:t>Shri Ashar in his letter clearly explains that BMC never meant the assessee but was a different person than the assessee;</w:t>
      </w:r>
    </w:p>
    <w:p w14:paraId="0245BB69" w14:textId="029EE2AD" w:rsidR="00835F29" w:rsidRPr="00F7205F" w:rsidRDefault="00BE3997" w:rsidP="00835F29">
      <w:pPr>
        <w:pStyle w:val="ListParagraph"/>
        <w:numPr>
          <w:ilvl w:val="0"/>
          <w:numId w:val="4"/>
        </w:numPr>
        <w:rPr>
          <w:rFonts w:ascii="Verdana" w:hAnsi="Verdana"/>
          <w:sz w:val="24"/>
          <w:szCs w:val="24"/>
        </w:rPr>
      </w:pPr>
      <w:r w:rsidRPr="00F7205F">
        <w:rPr>
          <w:rFonts w:ascii="Verdana" w:hAnsi="Verdana"/>
          <w:sz w:val="24"/>
          <w:szCs w:val="24"/>
        </w:rPr>
        <w:t>There is not an iota of evidence linking the assessee with BMC.</w:t>
      </w:r>
    </w:p>
    <w:p w14:paraId="563D388E" w14:textId="00AB826D" w:rsidR="00A742BB" w:rsidRPr="00F7205F" w:rsidRDefault="00A742BB" w:rsidP="00835F29">
      <w:pPr>
        <w:rPr>
          <w:rFonts w:ascii="Verdana" w:hAnsi="Verdana"/>
          <w:sz w:val="24"/>
          <w:szCs w:val="24"/>
        </w:rPr>
      </w:pPr>
    </w:p>
    <w:p w14:paraId="628CEA71" w14:textId="74320E2B" w:rsidR="004F098C" w:rsidRPr="00F7205F" w:rsidRDefault="004F098C" w:rsidP="004F098C">
      <w:pPr>
        <w:pStyle w:val="ListParagraph"/>
        <w:ind w:left="720"/>
        <w:rPr>
          <w:rFonts w:ascii="Verdana" w:hAnsi="Verdana"/>
          <w:sz w:val="24"/>
          <w:szCs w:val="24"/>
        </w:rPr>
      </w:pPr>
      <w:r w:rsidRPr="00F7205F">
        <w:rPr>
          <w:rFonts w:ascii="Verdana" w:hAnsi="Verdana"/>
          <w:sz w:val="24"/>
          <w:szCs w:val="24"/>
        </w:rPr>
        <w:t xml:space="preserve"> </w:t>
      </w:r>
    </w:p>
    <w:sectPr w:rsidR="004F098C" w:rsidRPr="00F7205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83815" w14:textId="77777777" w:rsidR="00B17199" w:rsidRDefault="00B17199" w:rsidP="00A70E9B">
      <w:pPr>
        <w:spacing w:after="0" w:line="240" w:lineRule="auto"/>
      </w:pPr>
      <w:r>
        <w:separator/>
      </w:r>
    </w:p>
  </w:endnote>
  <w:endnote w:type="continuationSeparator" w:id="0">
    <w:p w14:paraId="27165588" w14:textId="77777777" w:rsidR="00B17199" w:rsidRDefault="00B17199" w:rsidP="00A7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56953"/>
      <w:docPartObj>
        <w:docPartGallery w:val="Page Numbers (Bottom of Page)"/>
        <w:docPartUnique/>
      </w:docPartObj>
    </w:sdtPr>
    <w:sdtEndPr>
      <w:rPr>
        <w:noProof/>
      </w:rPr>
    </w:sdtEndPr>
    <w:sdtContent>
      <w:p w14:paraId="42144426" w14:textId="43CA03D3" w:rsidR="00A70E9B" w:rsidRDefault="00A70E9B">
        <w:pPr>
          <w:pStyle w:val="Footer"/>
          <w:jc w:val="center"/>
        </w:pPr>
        <w:r>
          <w:fldChar w:fldCharType="begin"/>
        </w:r>
        <w:r>
          <w:instrText xml:space="preserve"> PAGE   \* MERGEFORMAT </w:instrText>
        </w:r>
        <w:r>
          <w:fldChar w:fldCharType="separate"/>
        </w:r>
        <w:r w:rsidR="00204240">
          <w:rPr>
            <w:noProof/>
          </w:rPr>
          <w:t>5</w:t>
        </w:r>
        <w:r>
          <w:rPr>
            <w:noProof/>
          </w:rPr>
          <w:fldChar w:fldCharType="end"/>
        </w:r>
      </w:p>
    </w:sdtContent>
  </w:sdt>
  <w:p w14:paraId="29102809" w14:textId="77777777" w:rsidR="00A70E9B" w:rsidRDefault="00A70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3012B" w14:textId="77777777" w:rsidR="00B17199" w:rsidRDefault="00B17199" w:rsidP="00A70E9B">
      <w:pPr>
        <w:spacing w:after="0" w:line="240" w:lineRule="auto"/>
      </w:pPr>
      <w:r>
        <w:separator/>
      </w:r>
    </w:p>
  </w:footnote>
  <w:footnote w:type="continuationSeparator" w:id="0">
    <w:p w14:paraId="273E06FD" w14:textId="77777777" w:rsidR="00B17199" w:rsidRDefault="00B17199" w:rsidP="00A70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14D"/>
    <w:multiLevelType w:val="hybridMultilevel"/>
    <w:tmpl w:val="DAE88F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8C3D80"/>
    <w:multiLevelType w:val="multilevel"/>
    <w:tmpl w:val="0B8C3D80"/>
    <w:lvl w:ilvl="0">
      <w:start w:val="1"/>
      <w:numFmt w:val="decimal"/>
      <w:lvlText w:val="%1."/>
      <w:lvlJc w:val="left"/>
      <w:pPr>
        <w:tabs>
          <w:tab w:val="num" w:pos="420"/>
        </w:tabs>
        <w:ind w:left="1140" w:hanging="360"/>
      </w:pPr>
      <w:rPr>
        <w:rFonts w:hint="default"/>
      </w:rPr>
    </w:lvl>
    <w:lvl w:ilvl="1">
      <w:start w:val="1"/>
      <w:numFmt w:val="lowerLetter"/>
      <w:lvlText w:val="%2."/>
      <w:lvlJc w:val="left"/>
      <w:pPr>
        <w:tabs>
          <w:tab w:val="num" w:pos="420"/>
        </w:tabs>
        <w:ind w:left="1860" w:hanging="360"/>
      </w:pPr>
    </w:lvl>
    <w:lvl w:ilvl="2">
      <w:start w:val="1"/>
      <w:numFmt w:val="lowerRoman"/>
      <w:lvlText w:val="%3."/>
      <w:lvlJc w:val="right"/>
      <w:pPr>
        <w:tabs>
          <w:tab w:val="num" w:pos="420"/>
        </w:tabs>
        <w:ind w:left="2580" w:hanging="180"/>
      </w:pPr>
    </w:lvl>
    <w:lvl w:ilvl="3">
      <w:start w:val="1"/>
      <w:numFmt w:val="decimal"/>
      <w:lvlText w:val="%4."/>
      <w:lvlJc w:val="left"/>
      <w:pPr>
        <w:tabs>
          <w:tab w:val="num" w:pos="420"/>
        </w:tabs>
        <w:ind w:left="3300" w:hanging="360"/>
      </w:pPr>
    </w:lvl>
    <w:lvl w:ilvl="4">
      <w:start w:val="1"/>
      <w:numFmt w:val="lowerLetter"/>
      <w:lvlText w:val="%5."/>
      <w:lvlJc w:val="left"/>
      <w:pPr>
        <w:tabs>
          <w:tab w:val="num" w:pos="420"/>
        </w:tabs>
        <w:ind w:left="4020" w:hanging="360"/>
      </w:pPr>
    </w:lvl>
    <w:lvl w:ilvl="5">
      <w:start w:val="1"/>
      <w:numFmt w:val="lowerRoman"/>
      <w:lvlText w:val="%6."/>
      <w:lvlJc w:val="right"/>
      <w:pPr>
        <w:tabs>
          <w:tab w:val="num" w:pos="420"/>
        </w:tabs>
        <w:ind w:left="4740" w:hanging="180"/>
      </w:pPr>
    </w:lvl>
    <w:lvl w:ilvl="6">
      <w:start w:val="1"/>
      <w:numFmt w:val="decimal"/>
      <w:lvlText w:val="%7."/>
      <w:lvlJc w:val="left"/>
      <w:pPr>
        <w:tabs>
          <w:tab w:val="num" w:pos="420"/>
        </w:tabs>
        <w:ind w:left="5460" w:hanging="360"/>
      </w:pPr>
    </w:lvl>
    <w:lvl w:ilvl="7">
      <w:start w:val="1"/>
      <w:numFmt w:val="lowerLetter"/>
      <w:lvlText w:val="%8."/>
      <w:lvlJc w:val="left"/>
      <w:pPr>
        <w:tabs>
          <w:tab w:val="num" w:pos="420"/>
        </w:tabs>
        <w:ind w:left="6180" w:hanging="360"/>
      </w:pPr>
    </w:lvl>
    <w:lvl w:ilvl="8">
      <w:start w:val="1"/>
      <w:numFmt w:val="lowerRoman"/>
      <w:lvlText w:val="%9."/>
      <w:lvlJc w:val="right"/>
      <w:pPr>
        <w:tabs>
          <w:tab w:val="num" w:pos="420"/>
        </w:tabs>
        <w:ind w:left="6900" w:hanging="180"/>
      </w:pPr>
    </w:lvl>
  </w:abstractNum>
  <w:abstractNum w:abstractNumId="2">
    <w:nsid w:val="3CBA5C29"/>
    <w:multiLevelType w:val="hybridMultilevel"/>
    <w:tmpl w:val="CC683E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0066019"/>
    <w:multiLevelType w:val="hybridMultilevel"/>
    <w:tmpl w:val="D3ACEADC"/>
    <w:lvl w:ilvl="0" w:tplc="FCF01E60">
      <w:start w:val="1"/>
      <w:numFmt w:val="decimal"/>
      <w:lvlText w:val="%1."/>
      <w:lvlJc w:val="left"/>
      <w:pPr>
        <w:ind w:left="720" w:hanging="360"/>
      </w:pPr>
      <w:rPr>
        <w:rFonts w:ascii="Arial" w:hAnsi="Arial" w:cs="Arial" w:hint="default"/>
        <w:b w:val="0"/>
        <w:color w:val="575757"/>
        <w:sz w:val="2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C2"/>
    <w:rsid w:val="000109F2"/>
    <w:rsid w:val="00057D18"/>
    <w:rsid w:val="00077C7A"/>
    <w:rsid w:val="00151069"/>
    <w:rsid w:val="00176D95"/>
    <w:rsid w:val="001E0762"/>
    <w:rsid w:val="001E1AA9"/>
    <w:rsid w:val="00204240"/>
    <w:rsid w:val="00235E98"/>
    <w:rsid w:val="00242016"/>
    <w:rsid w:val="002D2E2B"/>
    <w:rsid w:val="003226C9"/>
    <w:rsid w:val="003306DE"/>
    <w:rsid w:val="00367367"/>
    <w:rsid w:val="003A4A4C"/>
    <w:rsid w:val="004026AA"/>
    <w:rsid w:val="0048727D"/>
    <w:rsid w:val="004B364B"/>
    <w:rsid w:val="004F098C"/>
    <w:rsid w:val="00516B49"/>
    <w:rsid w:val="005A5AD7"/>
    <w:rsid w:val="0060592C"/>
    <w:rsid w:val="0064513E"/>
    <w:rsid w:val="006B68C2"/>
    <w:rsid w:val="006D286A"/>
    <w:rsid w:val="00794C4D"/>
    <w:rsid w:val="007C552A"/>
    <w:rsid w:val="0080265A"/>
    <w:rsid w:val="00835F29"/>
    <w:rsid w:val="008748A0"/>
    <w:rsid w:val="008B642F"/>
    <w:rsid w:val="008E1942"/>
    <w:rsid w:val="0091143E"/>
    <w:rsid w:val="00913408"/>
    <w:rsid w:val="009315E4"/>
    <w:rsid w:val="009320F5"/>
    <w:rsid w:val="009E0077"/>
    <w:rsid w:val="009E3607"/>
    <w:rsid w:val="00A4035C"/>
    <w:rsid w:val="00A521D3"/>
    <w:rsid w:val="00A70E9B"/>
    <w:rsid w:val="00A742BB"/>
    <w:rsid w:val="00B17199"/>
    <w:rsid w:val="00BB42F4"/>
    <w:rsid w:val="00BE33F0"/>
    <w:rsid w:val="00BE3997"/>
    <w:rsid w:val="00BE7A3E"/>
    <w:rsid w:val="00C0114C"/>
    <w:rsid w:val="00CA39AC"/>
    <w:rsid w:val="00CA7754"/>
    <w:rsid w:val="00CF0C71"/>
    <w:rsid w:val="00D111B8"/>
    <w:rsid w:val="00D52C67"/>
    <w:rsid w:val="00F469AA"/>
    <w:rsid w:val="00F7205F"/>
    <w:rsid w:val="00F86C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077"/>
    <w:pPr>
      <w:spacing w:after="0" w:line="240" w:lineRule="auto"/>
      <w:contextualSpacing/>
    </w:pPr>
    <w:rPr>
      <w:rFonts w:ascii="Calibri" w:eastAsia="Calibri" w:hAnsi="Calibri" w:cs="Times New Roman"/>
      <w:lang w:val="en-US"/>
    </w:rPr>
  </w:style>
  <w:style w:type="paragraph" w:styleId="Header">
    <w:name w:val="header"/>
    <w:basedOn w:val="Normal"/>
    <w:link w:val="HeaderChar"/>
    <w:uiPriority w:val="99"/>
    <w:unhideWhenUsed/>
    <w:rsid w:val="00A7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E9B"/>
  </w:style>
  <w:style w:type="paragraph" w:styleId="Footer">
    <w:name w:val="footer"/>
    <w:basedOn w:val="Normal"/>
    <w:link w:val="FooterChar"/>
    <w:uiPriority w:val="99"/>
    <w:unhideWhenUsed/>
    <w:rsid w:val="00A7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9B"/>
  </w:style>
  <w:style w:type="character" w:styleId="Strong">
    <w:name w:val="Strong"/>
    <w:basedOn w:val="DefaultParagraphFont"/>
    <w:uiPriority w:val="22"/>
    <w:qFormat/>
    <w:rsid w:val="00077C7A"/>
    <w:rPr>
      <w:b/>
      <w:bCs/>
    </w:rPr>
  </w:style>
  <w:style w:type="paragraph" w:styleId="NormalWeb">
    <w:name w:val="Normal (Web)"/>
    <w:basedOn w:val="Normal"/>
    <w:uiPriority w:val="99"/>
    <w:semiHidden/>
    <w:unhideWhenUsed/>
    <w:rsid w:val="00F720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720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077"/>
    <w:pPr>
      <w:spacing w:after="0" w:line="240" w:lineRule="auto"/>
      <w:contextualSpacing/>
    </w:pPr>
    <w:rPr>
      <w:rFonts w:ascii="Calibri" w:eastAsia="Calibri" w:hAnsi="Calibri" w:cs="Times New Roman"/>
      <w:lang w:val="en-US"/>
    </w:rPr>
  </w:style>
  <w:style w:type="paragraph" w:styleId="Header">
    <w:name w:val="header"/>
    <w:basedOn w:val="Normal"/>
    <w:link w:val="HeaderChar"/>
    <w:uiPriority w:val="99"/>
    <w:unhideWhenUsed/>
    <w:rsid w:val="00A7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E9B"/>
  </w:style>
  <w:style w:type="paragraph" w:styleId="Footer">
    <w:name w:val="footer"/>
    <w:basedOn w:val="Normal"/>
    <w:link w:val="FooterChar"/>
    <w:uiPriority w:val="99"/>
    <w:unhideWhenUsed/>
    <w:rsid w:val="00A7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9B"/>
  </w:style>
  <w:style w:type="character" w:styleId="Strong">
    <w:name w:val="Strong"/>
    <w:basedOn w:val="DefaultParagraphFont"/>
    <w:uiPriority w:val="22"/>
    <w:qFormat/>
    <w:rsid w:val="00077C7A"/>
    <w:rPr>
      <w:b/>
      <w:bCs/>
    </w:rPr>
  </w:style>
  <w:style w:type="paragraph" w:styleId="NormalWeb">
    <w:name w:val="Normal (Web)"/>
    <w:basedOn w:val="Normal"/>
    <w:uiPriority w:val="99"/>
    <w:semiHidden/>
    <w:unhideWhenUsed/>
    <w:rsid w:val="00F720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72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7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girish dave</dc:creator>
  <cp:lastModifiedBy>G Dave</cp:lastModifiedBy>
  <cp:revision>12</cp:revision>
  <cp:lastPrinted>2021-07-16T08:55:00Z</cp:lastPrinted>
  <dcterms:created xsi:type="dcterms:W3CDTF">2022-03-01T10:36:00Z</dcterms:created>
  <dcterms:modified xsi:type="dcterms:W3CDTF">2022-03-01T16:20:00Z</dcterms:modified>
</cp:coreProperties>
</file>