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9F" w:rsidRDefault="007869E5" w:rsidP="007869E5">
      <w:pPr>
        <w:jc w:val="center"/>
        <w:rPr>
          <w:rFonts w:ascii="Verdana" w:hAnsi="Verdana"/>
          <w:sz w:val="24"/>
          <w:szCs w:val="24"/>
          <w:lang w:val="en-US"/>
        </w:rPr>
      </w:pPr>
      <w:r>
        <w:rPr>
          <w:rFonts w:ascii="Verdana" w:hAnsi="Verdana"/>
          <w:sz w:val="24"/>
          <w:szCs w:val="24"/>
          <w:lang w:val="en-US"/>
        </w:rPr>
        <w:t>BEFORE HON’BLE INCOME TAX APPELLATE TRIBUNAL, BENCH ‘H’,</w:t>
      </w:r>
      <w:r w:rsidR="00DB3148">
        <w:rPr>
          <w:rFonts w:ascii="Verdana" w:hAnsi="Verdana"/>
          <w:sz w:val="24"/>
          <w:szCs w:val="24"/>
          <w:lang w:val="en-US"/>
        </w:rPr>
        <w:t xml:space="preserve"> </w:t>
      </w:r>
      <w:r>
        <w:rPr>
          <w:rFonts w:ascii="Verdana" w:hAnsi="Verdana"/>
          <w:sz w:val="24"/>
          <w:szCs w:val="24"/>
          <w:lang w:val="en-US"/>
        </w:rPr>
        <w:t>MUMBAI</w:t>
      </w:r>
    </w:p>
    <w:p w:rsidR="007869E5" w:rsidRDefault="007869E5" w:rsidP="007869E5">
      <w:pPr>
        <w:jc w:val="center"/>
        <w:rPr>
          <w:rFonts w:ascii="Verdana" w:hAnsi="Verdana"/>
          <w:sz w:val="24"/>
          <w:szCs w:val="24"/>
          <w:lang w:val="en-US"/>
        </w:rPr>
      </w:pPr>
      <w:r>
        <w:rPr>
          <w:rFonts w:ascii="Verdana" w:hAnsi="Verdana"/>
          <w:sz w:val="24"/>
          <w:szCs w:val="24"/>
          <w:lang w:val="en-US"/>
        </w:rPr>
        <w:t>ITA No. 5648, 5649, 5650 &amp;</w:t>
      </w:r>
      <w:r w:rsidR="00E9471A">
        <w:rPr>
          <w:rFonts w:ascii="Verdana" w:hAnsi="Verdana"/>
          <w:sz w:val="24"/>
          <w:szCs w:val="24"/>
          <w:lang w:val="en-US"/>
        </w:rPr>
        <w:t xml:space="preserve"> </w:t>
      </w:r>
      <w:r>
        <w:rPr>
          <w:rFonts w:ascii="Verdana" w:hAnsi="Verdana"/>
          <w:sz w:val="24"/>
          <w:szCs w:val="24"/>
          <w:lang w:val="en-US"/>
        </w:rPr>
        <w:t>5651/M/2011</w:t>
      </w:r>
    </w:p>
    <w:p w:rsidR="007869E5" w:rsidRDefault="007869E5" w:rsidP="007869E5">
      <w:pPr>
        <w:jc w:val="center"/>
        <w:rPr>
          <w:rFonts w:ascii="Verdana" w:hAnsi="Verdana"/>
          <w:sz w:val="24"/>
          <w:szCs w:val="24"/>
          <w:lang w:val="en-US"/>
        </w:rPr>
      </w:pPr>
      <w:r>
        <w:rPr>
          <w:rFonts w:ascii="Verdana" w:hAnsi="Verdana"/>
          <w:sz w:val="24"/>
          <w:szCs w:val="24"/>
          <w:lang w:val="en-US"/>
        </w:rPr>
        <w:t>A.Yr 2002-03</w:t>
      </w:r>
    </w:p>
    <w:p w:rsidR="007869E5" w:rsidRDefault="007869E5" w:rsidP="007869E5">
      <w:pPr>
        <w:pBdr>
          <w:bottom w:val="single" w:sz="6" w:space="1" w:color="auto"/>
        </w:pBdr>
        <w:jc w:val="center"/>
        <w:rPr>
          <w:rFonts w:ascii="Verdana" w:hAnsi="Verdana"/>
          <w:sz w:val="24"/>
          <w:szCs w:val="24"/>
          <w:lang w:val="en-US"/>
        </w:rPr>
      </w:pPr>
      <w:r>
        <w:rPr>
          <w:rFonts w:ascii="Verdana" w:hAnsi="Verdana"/>
          <w:sz w:val="24"/>
          <w:szCs w:val="24"/>
          <w:lang w:val="en-US"/>
        </w:rPr>
        <w:t>Hasmukh I Gandhi &amp; Others v DCIT, Central Circle</w:t>
      </w:r>
    </w:p>
    <w:p w:rsidR="001C5972" w:rsidRDefault="001C5972" w:rsidP="001C5972">
      <w:pPr>
        <w:rPr>
          <w:rFonts w:ascii="Verdana" w:hAnsi="Verdana"/>
          <w:sz w:val="24"/>
          <w:szCs w:val="24"/>
          <w:lang w:val="en-US"/>
        </w:rPr>
      </w:pPr>
      <w:r>
        <w:rPr>
          <w:rFonts w:ascii="Verdana" w:hAnsi="Verdana"/>
          <w:sz w:val="24"/>
          <w:szCs w:val="24"/>
          <w:lang w:val="en-US"/>
        </w:rPr>
        <w:t>Events</w:t>
      </w:r>
      <w:r w:rsidR="00B458CE">
        <w:rPr>
          <w:rFonts w:ascii="Verdana" w:hAnsi="Verdana"/>
          <w:sz w:val="24"/>
          <w:szCs w:val="24"/>
          <w:lang w:val="en-US"/>
        </w:rPr>
        <w:t xml:space="preserve"> with relevant notes</w:t>
      </w:r>
      <w:r>
        <w:rPr>
          <w:rFonts w:ascii="Verdana" w:hAnsi="Verdana"/>
          <w:sz w:val="24"/>
          <w:szCs w:val="24"/>
          <w:lang w:val="en-US"/>
        </w:rPr>
        <w:t>:</w:t>
      </w:r>
    </w:p>
    <w:p w:rsidR="001C5972" w:rsidRDefault="001C5972" w:rsidP="001C5972">
      <w:pPr>
        <w:pStyle w:val="ListParagraph"/>
        <w:numPr>
          <w:ilvl w:val="0"/>
          <w:numId w:val="1"/>
        </w:numPr>
        <w:rPr>
          <w:rFonts w:ascii="Verdana" w:hAnsi="Verdana"/>
          <w:sz w:val="24"/>
          <w:szCs w:val="24"/>
          <w:lang w:val="en-US"/>
        </w:rPr>
      </w:pPr>
      <w:r>
        <w:rPr>
          <w:rFonts w:ascii="Verdana" w:hAnsi="Verdana"/>
          <w:sz w:val="24"/>
          <w:szCs w:val="24"/>
          <w:lang w:val="en-US"/>
        </w:rPr>
        <w:t>Date of assessment Order-</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30.12.2009</w:t>
      </w:r>
    </w:p>
    <w:p w:rsidR="001C5972" w:rsidRDefault="001C5972" w:rsidP="001C5972">
      <w:pPr>
        <w:pStyle w:val="ListParagraph"/>
        <w:numPr>
          <w:ilvl w:val="0"/>
          <w:numId w:val="1"/>
        </w:numPr>
        <w:rPr>
          <w:rFonts w:ascii="Verdana" w:hAnsi="Verdana"/>
          <w:b/>
          <w:sz w:val="24"/>
          <w:szCs w:val="24"/>
          <w:u w:val="single"/>
          <w:lang w:val="en-US"/>
        </w:rPr>
      </w:pPr>
      <w:r w:rsidRPr="0076661B">
        <w:rPr>
          <w:rFonts w:ascii="Verdana" w:hAnsi="Verdana"/>
          <w:b/>
          <w:sz w:val="24"/>
          <w:szCs w:val="24"/>
          <w:u w:val="single"/>
          <w:lang w:val="en-US"/>
        </w:rPr>
        <w:t>Notice u/s 274 read with section 271(1)(c)</w:t>
      </w:r>
      <w:r w:rsidR="0076661B">
        <w:rPr>
          <w:rFonts w:ascii="Verdana" w:hAnsi="Verdana"/>
          <w:b/>
          <w:sz w:val="24"/>
          <w:szCs w:val="24"/>
          <w:u w:val="single"/>
          <w:lang w:val="en-US"/>
        </w:rPr>
        <w:t>-</w:t>
      </w:r>
      <w:r w:rsidRPr="0076661B">
        <w:rPr>
          <w:rFonts w:ascii="Verdana" w:hAnsi="Verdana"/>
          <w:b/>
          <w:sz w:val="24"/>
          <w:szCs w:val="24"/>
          <w:u w:val="single"/>
          <w:lang w:val="en-US"/>
        </w:rPr>
        <w:tab/>
        <w:t>30.12.2009</w:t>
      </w:r>
    </w:p>
    <w:p w:rsidR="00EF5B9B" w:rsidRPr="00EF5B9B" w:rsidRDefault="00EF5B9B" w:rsidP="00EF5B9B">
      <w:pPr>
        <w:pStyle w:val="ListParagraph"/>
        <w:rPr>
          <w:rFonts w:ascii="Verdana" w:hAnsi="Verdana"/>
          <w:sz w:val="24"/>
          <w:szCs w:val="24"/>
          <w:lang w:val="en-US"/>
        </w:rPr>
      </w:pPr>
      <w:r w:rsidRPr="00EF5B9B">
        <w:rPr>
          <w:rFonts w:ascii="Verdana" w:hAnsi="Verdana"/>
          <w:sz w:val="24"/>
          <w:szCs w:val="24"/>
          <w:lang w:val="en-US"/>
        </w:rPr>
        <w:t>Please note this notice was not enclosed with the application dated 07.03.2018 for admission of additional ground</w:t>
      </w:r>
      <w:r>
        <w:rPr>
          <w:rFonts w:ascii="Verdana" w:hAnsi="Verdana"/>
          <w:sz w:val="24"/>
          <w:szCs w:val="24"/>
          <w:lang w:val="en-US"/>
        </w:rPr>
        <w:t xml:space="preserve"> and has been filed after a mention to </w:t>
      </w:r>
      <w:r w:rsidR="005B0CD2">
        <w:rPr>
          <w:rFonts w:ascii="Verdana" w:hAnsi="Verdana"/>
          <w:sz w:val="24"/>
          <w:szCs w:val="24"/>
          <w:lang w:val="en-US"/>
        </w:rPr>
        <w:t>t</w:t>
      </w:r>
      <w:r>
        <w:rPr>
          <w:rFonts w:ascii="Verdana" w:hAnsi="Verdana"/>
          <w:sz w:val="24"/>
          <w:szCs w:val="24"/>
          <w:lang w:val="en-US"/>
        </w:rPr>
        <w:t>his effect</w:t>
      </w:r>
      <w:r w:rsidR="005B0CD2">
        <w:rPr>
          <w:rFonts w:ascii="Verdana" w:hAnsi="Verdana"/>
          <w:sz w:val="24"/>
          <w:szCs w:val="24"/>
          <w:lang w:val="en-US"/>
        </w:rPr>
        <w:t xml:space="preserve"> is made in Para (11) at Page (2) of</w:t>
      </w:r>
      <w:r>
        <w:rPr>
          <w:rFonts w:ascii="Verdana" w:hAnsi="Verdana"/>
          <w:sz w:val="24"/>
          <w:szCs w:val="24"/>
          <w:lang w:val="en-US"/>
        </w:rPr>
        <w:t xml:space="preserve"> the note filed by the special counsel on 28.08.2021.</w:t>
      </w:r>
    </w:p>
    <w:p w:rsidR="001C5972" w:rsidRDefault="004D7C97" w:rsidP="001C5972">
      <w:pPr>
        <w:pStyle w:val="ListParagraph"/>
        <w:numPr>
          <w:ilvl w:val="0"/>
          <w:numId w:val="1"/>
        </w:numPr>
        <w:rPr>
          <w:rFonts w:ascii="Verdana" w:hAnsi="Verdana"/>
          <w:b/>
          <w:i/>
          <w:sz w:val="24"/>
          <w:szCs w:val="24"/>
          <w:u w:val="single"/>
          <w:lang w:val="en-US"/>
        </w:rPr>
      </w:pPr>
      <w:r w:rsidRPr="0076661B">
        <w:rPr>
          <w:rFonts w:ascii="Verdana" w:hAnsi="Verdana"/>
          <w:b/>
          <w:i/>
          <w:sz w:val="24"/>
          <w:szCs w:val="24"/>
          <w:u w:val="single"/>
          <w:lang w:val="en-US"/>
        </w:rPr>
        <w:t xml:space="preserve">Assessee’s </w:t>
      </w:r>
      <w:r w:rsidR="001C5972" w:rsidRPr="0076661B">
        <w:rPr>
          <w:rFonts w:ascii="Verdana" w:hAnsi="Verdana"/>
          <w:b/>
          <w:i/>
          <w:sz w:val="24"/>
          <w:szCs w:val="24"/>
          <w:u w:val="single"/>
          <w:lang w:val="en-US"/>
        </w:rPr>
        <w:t>Reply to Notice-</w:t>
      </w:r>
      <w:r w:rsidR="001C5972" w:rsidRPr="0076661B">
        <w:rPr>
          <w:rFonts w:ascii="Verdana" w:hAnsi="Verdana"/>
          <w:b/>
          <w:i/>
          <w:sz w:val="24"/>
          <w:szCs w:val="24"/>
          <w:u w:val="single"/>
          <w:lang w:val="en-US"/>
        </w:rPr>
        <w:tab/>
      </w:r>
      <w:r w:rsidR="001C5972" w:rsidRPr="0076661B">
        <w:rPr>
          <w:rFonts w:ascii="Verdana" w:hAnsi="Verdana"/>
          <w:b/>
          <w:i/>
          <w:sz w:val="24"/>
          <w:szCs w:val="24"/>
          <w:u w:val="single"/>
          <w:lang w:val="en-US"/>
        </w:rPr>
        <w:tab/>
      </w:r>
      <w:r w:rsidR="0076661B">
        <w:rPr>
          <w:rFonts w:ascii="Verdana" w:hAnsi="Verdana"/>
          <w:b/>
          <w:i/>
          <w:sz w:val="24"/>
          <w:szCs w:val="24"/>
          <w:u w:val="single"/>
          <w:lang w:val="en-US"/>
        </w:rPr>
        <w:tab/>
      </w:r>
      <w:r w:rsidRPr="0076661B">
        <w:rPr>
          <w:rFonts w:ascii="Verdana" w:hAnsi="Verdana"/>
          <w:b/>
          <w:i/>
          <w:sz w:val="24"/>
          <w:szCs w:val="24"/>
          <w:u w:val="single"/>
          <w:lang w:val="en-US"/>
        </w:rPr>
        <w:tab/>
      </w:r>
      <w:r w:rsidR="001C5972" w:rsidRPr="0076661B">
        <w:rPr>
          <w:rFonts w:ascii="Verdana" w:hAnsi="Verdana"/>
          <w:b/>
          <w:i/>
          <w:sz w:val="24"/>
          <w:szCs w:val="24"/>
          <w:u w:val="single"/>
          <w:lang w:val="en-US"/>
        </w:rPr>
        <w:t>21.01.2010</w:t>
      </w:r>
    </w:p>
    <w:p w:rsidR="00EF5B9B" w:rsidRDefault="00EF5B9B" w:rsidP="005B0CD2">
      <w:pPr>
        <w:pStyle w:val="ListParagraph"/>
        <w:numPr>
          <w:ilvl w:val="0"/>
          <w:numId w:val="3"/>
        </w:numPr>
        <w:rPr>
          <w:rFonts w:ascii="Verdana" w:hAnsi="Verdana"/>
          <w:sz w:val="24"/>
          <w:szCs w:val="24"/>
          <w:lang w:val="en-US"/>
        </w:rPr>
      </w:pPr>
      <w:r w:rsidRPr="00EF5B9B">
        <w:rPr>
          <w:rFonts w:ascii="Verdana" w:hAnsi="Verdana"/>
          <w:sz w:val="24"/>
          <w:szCs w:val="24"/>
          <w:lang w:val="en-US"/>
        </w:rPr>
        <w:t xml:space="preserve">Please note this notice was not enclosed with the application dated 07.03.2018 for </w:t>
      </w:r>
      <w:r w:rsidR="005B0CD2">
        <w:rPr>
          <w:rFonts w:ascii="Verdana" w:hAnsi="Verdana"/>
          <w:sz w:val="24"/>
          <w:szCs w:val="24"/>
          <w:lang w:val="en-US"/>
        </w:rPr>
        <w:t xml:space="preserve">the </w:t>
      </w:r>
      <w:r w:rsidRPr="00EF5B9B">
        <w:rPr>
          <w:rFonts w:ascii="Verdana" w:hAnsi="Verdana"/>
          <w:sz w:val="24"/>
          <w:szCs w:val="24"/>
          <w:lang w:val="en-US"/>
        </w:rPr>
        <w:t xml:space="preserve">admission of additional ground and has been filed after a mention to </w:t>
      </w:r>
      <w:r w:rsidR="005B0CD2">
        <w:rPr>
          <w:rFonts w:ascii="Verdana" w:hAnsi="Verdana"/>
          <w:sz w:val="24"/>
          <w:szCs w:val="24"/>
          <w:lang w:val="en-US"/>
        </w:rPr>
        <w:t>t</w:t>
      </w:r>
      <w:r w:rsidRPr="00EF5B9B">
        <w:rPr>
          <w:rFonts w:ascii="Verdana" w:hAnsi="Verdana"/>
          <w:sz w:val="24"/>
          <w:szCs w:val="24"/>
          <w:lang w:val="en-US"/>
        </w:rPr>
        <w:t>his effect</w:t>
      </w:r>
      <w:r w:rsidR="005B0CD2">
        <w:rPr>
          <w:rFonts w:ascii="Verdana" w:hAnsi="Verdana"/>
          <w:sz w:val="24"/>
          <w:szCs w:val="24"/>
          <w:lang w:val="en-US"/>
        </w:rPr>
        <w:t xml:space="preserve"> is made in </w:t>
      </w:r>
      <w:r w:rsidR="005B0CD2" w:rsidRPr="005B0CD2">
        <w:rPr>
          <w:rFonts w:ascii="Verdana" w:hAnsi="Verdana"/>
          <w:sz w:val="24"/>
          <w:szCs w:val="24"/>
          <w:lang w:val="en-US"/>
        </w:rPr>
        <w:t>Para (11) at Page (2) of</w:t>
      </w:r>
      <w:r w:rsidR="005B0CD2">
        <w:rPr>
          <w:rFonts w:ascii="Verdana" w:hAnsi="Verdana"/>
          <w:sz w:val="24"/>
          <w:szCs w:val="24"/>
          <w:lang w:val="en-US"/>
        </w:rPr>
        <w:t xml:space="preserve"> </w:t>
      </w:r>
      <w:r w:rsidRPr="00EF5B9B">
        <w:rPr>
          <w:rFonts w:ascii="Verdana" w:hAnsi="Verdana"/>
          <w:sz w:val="24"/>
          <w:szCs w:val="24"/>
          <w:lang w:val="en-US"/>
        </w:rPr>
        <w:t>the note filed by the special counsel on 28.08.2021.</w:t>
      </w:r>
    </w:p>
    <w:p w:rsidR="00EF5B9B" w:rsidRPr="00EF5B9B" w:rsidRDefault="00EF5B9B" w:rsidP="00EF5B9B">
      <w:pPr>
        <w:pStyle w:val="ListParagraph"/>
        <w:numPr>
          <w:ilvl w:val="0"/>
          <w:numId w:val="3"/>
        </w:numPr>
        <w:rPr>
          <w:rFonts w:ascii="Verdana" w:hAnsi="Verdana"/>
          <w:sz w:val="24"/>
          <w:szCs w:val="24"/>
          <w:lang w:val="en-US"/>
        </w:rPr>
      </w:pPr>
      <w:r w:rsidRPr="00EF5B9B">
        <w:rPr>
          <w:rFonts w:ascii="Verdana" w:hAnsi="Verdana"/>
          <w:sz w:val="24"/>
          <w:szCs w:val="24"/>
          <w:lang w:val="en-US"/>
        </w:rPr>
        <w:t xml:space="preserve">Copy of this reply is filed </w:t>
      </w:r>
      <w:r w:rsidR="005B0CD2">
        <w:rPr>
          <w:rFonts w:ascii="Verdana" w:hAnsi="Verdana"/>
          <w:sz w:val="24"/>
          <w:szCs w:val="24"/>
          <w:lang w:val="en-US"/>
        </w:rPr>
        <w:t>at Page serially numbered (1) &amp; (2)</w:t>
      </w:r>
      <w:r w:rsidRPr="00EF5B9B">
        <w:rPr>
          <w:rFonts w:ascii="Verdana" w:hAnsi="Verdana"/>
          <w:sz w:val="24"/>
          <w:szCs w:val="24"/>
          <w:lang w:val="en-US"/>
        </w:rPr>
        <w:t xml:space="preserve"> </w:t>
      </w:r>
      <w:r w:rsidR="005B0CD2">
        <w:rPr>
          <w:rFonts w:ascii="Verdana" w:hAnsi="Verdana"/>
          <w:sz w:val="24"/>
          <w:szCs w:val="24"/>
          <w:lang w:val="en-US"/>
        </w:rPr>
        <w:t xml:space="preserve">by the </w:t>
      </w:r>
      <w:r w:rsidRPr="00EF5B9B">
        <w:rPr>
          <w:rFonts w:ascii="Verdana" w:hAnsi="Verdana"/>
          <w:sz w:val="24"/>
          <w:szCs w:val="24"/>
          <w:lang w:val="en-US"/>
        </w:rPr>
        <w:t>appellant-assessee with the compilation of papers filed on 26.04.2018</w:t>
      </w:r>
      <w:r w:rsidR="005B0CD2">
        <w:rPr>
          <w:rFonts w:ascii="Verdana" w:hAnsi="Verdana"/>
          <w:sz w:val="24"/>
          <w:szCs w:val="24"/>
          <w:lang w:val="en-US"/>
        </w:rPr>
        <w:t>.</w:t>
      </w:r>
    </w:p>
    <w:p w:rsidR="004D7C97" w:rsidRPr="00EF5B9B" w:rsidRDefault="004D7C97" w:rsidP="00EF5B9B">
      <w:pPr>
        <w:pStyle w:val="ListParagraph"/>
        <w:numPr>
          <w:ilvl w:val="0"/>
          <w:numId w:val="1"/>
        </w:numPr>
        <w:rPr>
          <w:rFonts w:ascii="Verdana" w:hAnsi="Verdana"/>
          <w:sz w:val="24"/>
          <w:szCs w:val="24"/>
          <w:lang w:val="en-US"/>
        </w:rPr>
      </w:pPr>
      <w:r w:rsidRPr="00EF5B9B">
        <w:rPr>
          <w:rFonts w:ascii="Verdana" w:hAnsi="Verdana"/>
          <w:sz w:val="24"/>
          <w:szCs w:val="24"/>
          <w:lang w:val="en-US"/>
        </w:rPr>
        <w:t>CIT (A)’s order in quantum appeal-</w:t>
      </w:r>
      <w:r w:rsidRPr="00EF5B9B">
        <w:rPr>
          <w:rFonts w:ascii="Verdana" w:hAnsi="Verdana"/>
          <w:sz w:val="24"/>
          <w:szCs w:val="24"/>
          <w:lang w:val="en-US"/>
        </w:rPr>
        <w:tab/>
      </w:r>
      <w:r w:rsidRPr="00EF5B9B">
        <w:rPr>
          <w:rFonts w:ascii="Verdana" w:hAnsi="Verdana"/>
          <w:sz w:val="24"/>
          <w:szCs w:val="24"/>
          <w:lang w:val="en-US"/>
        </w:rPr>
        <w:tab/>
      </w:r>
      <w:r w:rsidRPr="00EF5B9B">
        <w:rPr>
          <w:rFonts w:ascii="Verdana" w:hAnsi="Verdana"/>
          <w:sz w:val="24"/>
          <w:szCs w:val="24"/>
          <w:lang w:val="en-US"/>
        </w:rPr>
        <w:tab/>
      </w:r>
      <w:r w:rsidRPr="00EF5B9B">
        <w:rPr>
          <w:rFonts w:ascii="Verdana" w:hAnsi="Verdana"/>
          <w:sz w:val="24"/>
          <w:szCs w:val="24"/>
          <w:lang w:val="en-US"/>
        </w:rPr>
        <w:tab/>
        <w:t>19.01.2011</w:t>
      </w:r>
    </w:p>
    <w:p w:rsidR="005E2C83" w:rsidRPr="005E2C83" w:rsidRDefault="005E2C83" w:rsidP="00EF5B9B">
      <w:pPr>
        <w:pStyle w:val="ListParagraph"/>
        <w:numPr>
          <w:ilvl w:val="0"/>
          <w:numId w:val="1"/>
        </w:numPr>
        <w:rPr>
          <w:rFonts w:ascii="Verdana" w:hAnsi="Verdana"/>
          <w:b/>
          <w:sz w:val="24"/>
          <w:szCs w:val="24"/>
          <w:u w:val="single"/>
          <w:lang w:val="en-US"/>
        </w:rPr>
      </w:pPr>
      <w:r w:rsidRPr="005E2C83">
        <w:rPr>
          <w:rFonts w:ascii="Verdana" w:hAnsi="Verdana"/>
          <w:b/>
          <w:sz w:val="24"/>
          <w:szCs w:val="24"/>
          <w:u w:val="single"/>
          <w:lang w:val="en-US"/>
        </w:rPr>
        <w:t>Show Cause of</w:t>
      </w:r>
      <w:r w:rsidR="0076661B">
        <w:rPr>
          <w:rFonts w:ascii="Verdana" w:hAnsi="Verdana"/>
          <w:b/>
          <w:sz w:val="24"/>
          <w:szCs w:val="24"/>
          <w:u w:val="single"/>
          <w:lang w:val="en-US"/>
        </w:rPr>
        <w:t xml:space="preserve"> A.O for imposition of penalty-</w:t>
      </w:r>
      <w:r w:rsidRPr="005E2C83">
        <w:rPr>
          <w:rFonts w:ascii="Verdana" w:hAnsi="Verdana"/>
          <w:b/>
          <w:sz w:val="24"/>
          <w:szCs w:val="24"/>
          <w:u w:val="single"/>
          <w:lang w:val="en-US"/>
        </w:rPr>
        <w:tab/>
        <w:t>25.01.2011</w:t>
      </w:r>
    </w:p>
    <w:p w:rsidR="005E2C83" w:rsidRDefault="005E2C83" w:rsidP="00EF5B9B">
      <w:pPr>
        <w:pStyle w:val="ListParagraph"/>
        <w:numPr>
          <w:ilvl w:val="0"/>
          <w:numId w:val="1"/>
        </w:numPr>
        <w:rPr>
          <w:rFonts w:ascii="Verdana" w:hAnsi="Verdana"/>
          <w:b/>
          <w:i/>
          <w:sz w:val="24"/>
          <w:szCs w:val="24"/>
          <w:u w:val="single"/>
          <w:lang w:val="en-US"/>
        </w:rPr>
      </w:pPr>
      <w:r w:rsidRPr="0076661B">
        <w:rPr>
          <w:rFonts w:ascii="Verdana" w:hAnsi="Verdana"/>
          <w:b/>
          <w:i/>
          <w:sz w:val="24"/>
          <w:szCs w:val="24"/>
          <w:u w:val="single"/>
          <w:lang w:val="en-US"/>
        </w:rPr>
        <w:t>Reply by assessee-</w:t>
      </w:r>
      <w:r w:rsidRPr="0076661B">
        <w:rPr>
          <w:rFonts w:ascii="Verdana" w:hAnsi="Verdana"/>
          <w:b/>
          <w:i/>
          <w:sz w:val="24"/>
          <w:szCs w:val="24"/>
          <w:u w:val="single"/>
          <w:lang w:val="en-US"/>
        </w:rPr>
        <w:tab/>
      </w:r>
      <w:r w:rsidRPr="0076661B">
        <w:rPr>
          <w:rFonts w:ascii="Verdana" w:hAnsi="Verdana"/>
          <w:b/>
          <w:i/>
          <w:sz w:val="24"/>
          <w:szCs w:val="24"/>
          <w:u w:val="single"/>
          <w:lang w:val="en-US"/>
        </w:rPr>
        <w:tab/>
      </w:r>
      <w:r w:rsidRPr="0076661B">
        <w:rPr>
          <w:rFonts w:ascii="Verdana" w:hAnsi="Verdana"/>
          <w:b/>
          <w:i/>
          <w:sz w:val="24"/>
          <w:szCs w:val="24"/>
          <w:u w:val="single"/>
          <w:lang w:val="en-US"/>
        </w:rPr>
        <w:tab/>
      </w:r>
      <w:r w:rsidRPr="0076661B">
        <w:rPr>
          <w:rFonts w:ascii="Verdana" w:hAnsi="Verdana"/>
          <w:b/>
          <w:i/>
          <w:sz w:val="24"/>
          <w:szCs w:val="24"/>
          <w:u w:val="single"/>
          <w:lang w:val="en-US"/>
        </w:rPr>
        <w:tab/>
      </w:r>
      <w:r w:rsidRPr="0076661B">
        <w:rPr>
          <w:rFonts w:ascii="Verdana" w:hAnsi="Verdana"/>
          <w:b/>
          <w:i/>
          <w:sz w:val="24"/>
          <w:szCs w:val="24"/>
          <w:u w:val="single"/>
          <w:lang w:val="en-US"/>
        </w:rPr>
        <w:tab/>
      </w:r>
      <w:r w:rsidRPr="0076661B">
        <w:rPr>
          <w:rFonts w:ascii="Verdana" w:hAnsi="Verdana"/>
          <w:b/>
          <w:i/>
          <w:sz w:val="24"/>
          <w:szCs w:val="24"/>
          <w:u w:val="single"/>
          <w:lang w:val="en-US"/>
        </w:rPr>
        <w:tab/>
        <w:t>31.01.2011</w:t>
      </w:r>
    </w:p>
    <w:p w:rsidR="005B0CD2" w:rsidRDefault="005B0CD2" w:rsidP="005B0CD2">
      <w:pPr>
        <w:pStyle w:val="ListParagraph"/>
        <w:numPr>
          <w:ilvl w:val="0"/>
          <w:numId w:val="4"/>
        </w:numPr>
        <w:rPr>
          <w:rFonts w:ascii="Verdana" w:hAnsi="Verdana"/>
          <w:sz w:val="24"/>
          <w:szCs w:val="24"/>
          <w:lang w:val="en-US"/>
        </w:rPr>
      </w:pPr>
      <w:r w:rsidRPr="005B0CD2">
        <w:rPr>
          <w:rFonts w:ascii="Verdana" w:hAnsi="Verdana"/>
          <w:sz w:val="24"/>
          <w:szCs w:val="24"/>
          <w:lang w:val="en-US"/>
        </w:rPr>
        <w:t xml:space="preserve">Please note this notice was </w:t>
      </w:r>
      <w:r>
        <w:rPr>
          <w:rFonts w:ascii="Verdana" w:hAnsi="Verdana"/>
          <w:sz w:val="24"/>
          <w:szCs w:val="24"/>
          <w:lang w:val="en-US"/>
        </w:rPr>
        <w:t xml:space="preserve">also </w:t>
      </w:r>
      <w:r w:rsidRPr="005B0CD2">
        <w:rPr>
          <w:rFonts w:ascii="Verdana" w:hAnsi="Verdana"/>
          <w:sz w:val="24"/>
          <w:szCs w:val="24"/>
          <w:lang w:val="en-US"/>
        </w:rPr>
        <w:t>not enclosed with the application dated 07.03.2018 for</w:t>
      </w:r>
      <w:r>
        <w:rPr>
          <w:rFonts w:ascii="Verdana" w:hAnsi="Verdana"/>
          <w:sz w:val="24"/>
          <w:szCs w:val="24"/>
          <w:lang w:val="en-US"/>
        </w:rPr>
        <w:t xml:space="preserve"> the</w:t>
      </w:r>
      <w:r w:rsidR="0025571D">
        <w:rPr>
          <w:rFonts w:ascii="Verdana" w:hAnsi="Verdana"/>
          <w:sz w:val="24"/>
          <w:szCs w:val="24"/>
          <w:lang w:val="en-US"/>
        </w:rPr>
        <w:t xml:space="preserve"> </w:t>
      </w:r>
      <w:r w:rsidRPr="005B0CD2">
        <w:rPr>
          <w:rFonts w:ascii="Verdana" w:hAnsi="Verdana"/>
          <w:sz w:val="24"/>
          <w:szCs w:val="24"/>
          <w:lang w:val="en-US"/>
        </w:rPr>
        <w:t>admission of additional ground and has been filed after a mention to his effect in the note filed by the special counsel on 28.08.2021.</w:t>
      </w:r>
      <w:r>
        <w:rPr>
          <w:rFonts w:ascii="Verdana" w:hAnsi="Verdana"/>
          <w:sz w:val="24"/>
          <w:szCs w:val="24"/>
          <w:lang w:val="en-US"/>
        </w:rPr>
        <w:t xml:space="preserve"> Copy of this reply may please be seen </w:t>
      </w:r>
      <w:r w:rsidR="0025571D">
        <w:rPr>
          <w:rFonts w:ascii="Verdana" w:hAnsi="Verdana"/>
          <w:sz w:val="24"/>
          <w:szCs w:val="24"/>
          <w:lang w:val="en-US"/>
        </w:rPr>
        <w:t>as Annexure-B to the note filed on 30</w:t>
      </w:r>
      <w:r w:rsidR="0025571D" w:rsidRPr="0025571D">
        <w:rPr>
          <w:rFonts w:ascii="Verdana" w:hAnsi="Verdana"/>
          <w:sz w:val="24"/>
          <w:szCs w:val="24"/>
          <w:vertAlign w:val="superscript"/>
          <w:lang w:val="en-US"/>
        </w:rPr>
        <w:t>th</w:t>
      </w:r>
      <w:r w:rsidR="0025571D">
        <w:rPr>
          <w:rFonts w:ascii="Verdana" w:hAnsi="Verdana"/>
          <w:sz w:val="24"/>
          <w:szCs w:val="24"/>
          <w:lang w:val="en-US"/>
        </w:rPr>
        <w:t xml:space="preserve"> September, 2021.</w:t>
      </w:r>
    </w:p>
    <w:p w:rsidR="005B0CD2" w:rsidRPr="00B25D10" w:rsidRDefault="0025571D" w:rsidP="005B0CD2">
      <w:pPr>
        <w:pStyle w:val="ListParagraph"/>
        <w:numPr>
          <w:ilvl w:val="0"/>
          <w:numId w:val="4"/>
        </w:numPr>
        <w:rPr>
          <w:rFonts w:ascii="Verdana" w:hAnsi="Verdana"/>
          <w:sz w:val="24"/>
          <w:szCs w:val="24"/>
          <w:lang w:val="en-US"/>
        </w:rPr>
      </w:pPr>
      <w:r>
        <w:rPr>
          <w:rFonts w:ascii="Verdana" w:hAnsi="Verdana"/>
          <w:sz w:val="24"/>
          <w:szCs w:val="24"/>
          <w:lang w:val="en-US"/>
        </w:rPr>
        <w:t>In this reply of dated 31</w:t>
      </w:r>
      <w:r w:rsidRPr="0025571D">
        <w:rPr>
          <w:rFonts w:ascii="Verdana" w:hAnsi="Verdana"/>
          <w:sz w:val="24"/>
          <w:szCs w:val="24"/>
          <w:vertAlign w:val="superscript"/>
          <w:lang w:val="en-US"/>
        </w:rPr>
        <w:t>st</w:t>
      </w:r>
      <w:r>
        <w:rPr>
          <w:rFonts w:ascii="Verdana" w:hAnsi="Verdana"/>
          <w:sz w:val="24"/>
          <w:szCs w:val="24"/>
          <w:lang w:val="en-US"/>
        </w:rPr>
        <w:t xml:space="preserve"> January, 2011 to the show cause dated 25</w:t>
      </w:r>
      <w:r w:rsidRPr="0025571D">
        <w:rPr>
          <w:rFonts w:ascii="Verdana" w:hAnsi="Verdana"/>
          <w:sz w:val="24"/>
          <w:szCs w:val="24"/>
          <w:vertAlign w:val="superscript"/>
          <w:lang w:val="en-US"/>
        </w:rPr>
        <w:t>th</w:t>
      </w:r>
      <w:r>
        <w:rPr>
          <w:rFonts w:ascii="Verdana" w:hAnsi="Verdana"/>
          <w:sz w:val="24"/>
          <w:szCs w:val="24"/>
          <w:lang w:val="en-US"/>
        </w:rPr>
        <w:t xml:space="preserve"> January, 2011 of the learned Assessing Officer, the appellant-assessee has objected to the notice by stating inter-alia that “</w:t>
      </w:r>
      <w:r w:rsidRPr="00B25D10">
        <w:rPr>
          <w:rFonts w:ascii="Verdana" w:hAnsi="Verdana"/>
          <w:i/>
          <w:sz w:val="24"/>
          <w:szCs w:val="24"/>
          <w:lang w:val="en-US"/>
        </w:rPr>
        <w:t>in this connection, we hav</w:t>
      </w:r>
      <w:r w:rsidR="00B25D10" w:rsidRPr="00B25D10">
        <w:rPr>
          <w:rFonts w:ascii="Verdana" w:hAnsi="Verdana"/>
          <w:i/>
          <w:sz w:val="24"/>
          <w:szCs w:val="24"/>
          <w:lang w:val="en-US"/>
        </w:rPr>
        <w:t>e</w:t>
      </w:r>
      <w:r w:rsidRPr="00B25D10">
        <w:rPr>
          <w:rFonts w:ascii="Verdana" w:hAnsi="Verdana"/>
          <w:i/>
          <w:sz w:val="24"/>
          <w:szCs w:val="24"/>
          <w:lang w:val="en-US"/>
        </w:rPr>
        <w:t xml:space="preserve"> to submit that the columns in the notice issued are blank and not marked and specific.</w:t>
      </w:r>
      <w:r w:rsidR="00B25D10">
        <w:rPr>
          <w:rFonts w:ascii="Verdana" w:hAnsi="Verdana"/>
          <w:sz w:val="24"/>
          <w:szCs w:val="24"/>
          <w:lang w:val="en-US"/>
        </w:rPr>
        <w:t>”</w:t>
      </w:r>
      <w:r w:rsidRPr="00B25D10">
        <w:rPr>
          <w:rFonts w:ascii="Verdana" w:hAnsi="Verdana"/>
          <w:sz w:val="24"/>
          <w:szCs w:val="24"/>
          <w:lang w:val="en-US"/>
        </w:rPr>
        <w:t xml:space="preserve"> </w:t>
      </w:r>
    </w:p>
    <w:p w:rsidR="005E2C83" w:rsidRDefault="005E2C83" w:rsidP="00EF5B9B">
      <w:pPr>
        <w:pStyle w:val="ListParagraph"/>
        <w:numPr>
          <w:ilvl w:val="0"/>
          <w:numId w:val="1"/>
        </w:numPr>
        <w:rPr>
          <w:rFonts w:ascii="Verdana" w:hAnsi="Verdana"/>
          <w:sz w:val="24"/>
          <w:szCs w:val="24"/>
          <w:lang w:val="en-US"/>
        </w:rPr>
      </w:pPr>
      <w:r>
        <w:rPr>
          <w:rFonts w:ascii="Verdana" w:hAnsi="Verdana"/>
          <w:sz w:val="24"/>
          <w:szCs w:val="24"/>
          <w:lang w:val="en-US"/>
        </w:rPr>
        <w:t>Order imposing penalty-</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11.03.2011</w:t>
      </w:r>
    </w:p>
    <w:p w:rsidR="005E2C83" w:rsidRDefault="005E2C83" w:rsidP="00EF5B9B">
      <w:pPr>
        <w:pStyle w:val="ListParagraph"/>
        <w:numPr>
          <w:ilvl w:val="0"/>
          <w:numId w:val="1"/>
        </w:numPr>
        <w:rPr>
          <w:rFonts w:ascii="Verdana" w:hAnsi="Verdana"/>
          <w:b/>
          <w:sz w:val="24"/>
          <w:szCs w:val="24"/>
          <w:u w:val="single"/>
          <w:lang w:val="en-US"/>
        </w:rPr>
      </w:pPr>
      <w:r w:rsidRPr="0076661B">
        <w:rPr>
          <w:rFonts w:ascii="Verdana" w:hAnsi="Verdana"/>
          <w:b/>
          <w:sz w:val="24"/>
          <w:szCs w:val="24"/>
          <w:u w:val="single"/>
          <w:lang w:val="en-US"/>
        </w:rPr>
        <w:t>Date of filing appeal to CIT(A)</w:t>
      </w:r>
      <w:r w:rsidR="0076661B" w:rsidRPr="0076661B">
        <w:rPr>
          <w:rFonts w:ascii="Verdana" w:hAnsi="Verdana"/>
          <w:b/>
          <w:sz w:val="24"/>
          <w:szCs w:val="24"/>
          <w:u w:val="single"/>
          <w:lang w:val="en-US"/>
        </w:rPr>
        <w:t>against penalty</w:t>
      </w:r>
      <w:r w:rsidRPr="0076661B">
        <w:rPr>
          <w:rFonts w:ascii="Verdana" w:hAnsi="Verdana"/>
          <w:b/>
          <w:sz w:val="24"/>
          <w:szCs w:val="24"/>
          <w:u w:val="single"/>
          <w:lang w:val="en-US"/>
        </w:rPr>
        <w:t>-</w:t>
      </w:r>
      <w:r w:rsidRPr="0076661B">
        <w:rPr>
          <w:rFonts w:ascii="Verdana" w:hAnsi="Verdana"/>
          <w:b/>
          <w:sz w:val="24"/>
          <w:szCs w:val="24"/>
          <w:u w:val="single"/>
          <w:lang w:val="en-US"/>
        </w:rPr>
        <w:tab/>
        <w:t>28.03.2011</w:t>
      </w:r>
    </w:p>
    <w:p w:rsidR="00B25D10" w:rsidRPr="00B25D10" w:rsidRDefault="00B25D10" w:rsidP="00B25D10">
      <w:pPr>
        <w:pStyle w:val="ListParagraph"/>
        <w:rPr>
          <w:rFonts w:ascii="Verdana" w:hAnsi="Verdana"/>
          <w:sz w:val="24"/>
          <w:szCs w:val="24"/>
          <w:lang w:val="en-US"/>
        </w:rPr>
      </w:pPr>
      <w:r w:rsidRPr="00B25D10">
        <w:rPr>
          <w:rFonts w:ascii="Verdana" w:hAnsi="Verdana"/>
          <w:sz w:val="24"/>
          <w:szCs w:val="24"/>
          <w:lang w:val="en-US"/>
        </w:rPr>
        <w:t>There is no such ground in Form No. 35</w:t>
      </w:r>
      <w:r>
        <w:rPr>
          <w:rFonts w:ascii="Verdana" w:hAnsi="Verdana"/>
          <w:sz w:val="24"/>
          <w:szCs w:val="24"/>
          <w:lang w:val="en-US"/>
        </w:rPr>
        <w:t xml:space="preserve"> though in reply dated 31</w:t>
      </w:r>
      <w:r w:rsidRPr="00B25D10">
        <w:rPr>
          <w:rFonts w:ascii="Verdana" w:hAnsi="Verdana"/>
          <w:sz w:val="24"/>
          <w:szCs w:val="24"/>
          <w:vertAlign w:val="superscript"/>
          <w:lang w:val="en-US"/>
        </w:rPr>
        <w:t>st</w:t>
      </w:r>
      <w:r>
        <w:rPr>
          <w:rFonts w:ascii="Verdana" w:hAnsi="Verdana"/>
          <w:sz w:val="24"/>
          <w:szCs w:val="24"/>
          <w:lang w:val="en-US"/>
        </w:rPr>
        <w:t xml:space="preserve"> January, 2011 to the learned Assessing Officer, this objection was taken. Can it be said that the appellant-assessee </w:t>
      </w:r>
      <w:r w:rsidR="00F76D16">
        <w:rPr>
          <w:rFonts w:ascii="Verdana" w:hAnsi="Verdana"/>
          <w:sz w:val="24"/>
          <w:szCs w:val="24"/>
          <w:lang w:val="en-US"/>
        </w:rPr>
        <w:t>knowingly did not include this ground in the memorandum of appeal filed with the learned CIT (A).</w:t>
      </w:r>
    </w:p>
    <w:p w:rsidR="005E2C83" w:rsidRDefault="005E2C83" w:rsidP="00EF5B9B">
      <w:pPr>
        <w:pStyle w:val="ListParagraph"/>
        <w:numPr>
          <w:ilvl w:val="0"/>
          <w:numId w:val="1"/>
        </w:numPr>
        <w:rPr>
          <w:rFonts w:ascii="Verdana" w:hAnsi="Verdana"/>
          <w:sz w:val="24"/>
          <w:szCs w:val="24"/>
          <w:lang w:val="en-US"/>
        </w:rPr>
      </w:pPr>
      <w:r>
        <w:rPr>
          <w:rFonts w:ascii="Verdana" w:hAnsi="Verdana"/>
          <w:sz w:val="24"/>
          <w:szCs w:val="24"/>
          <w:lang w:val="en-US"/>
        </w:rPr>
        <w:lastRenderedPageBreak/>
        <w:t>Submission before the CIT (A)-</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13.06.2011</w:t>
      </w:r>
    </w:p>
    <w:p w:rsidR="005E2C83" w:rsidRDefault="005E2C83" w:rsidP="00EF5B9B">
      <w:pPr>
        <w:pStyle w:val="ListParagraph"/>
        <w:numPr>
          <w:ilvl w:val="0"/>
          <w:numId w:val="1"/>
        </w:numPr>
        <w:tabs>
          <w:tab w:val="left" w:pos="851"/>
        </w:tabs>
        <w:rPr>
          <w:rFonts w:ascii="Verdana" w:hAnsi="Verdana"/>
          <w:sz w:val="24"/>
          <w:szCs w:val="24"/>
          <w:lang w:val="en-US"/>
        </w:rPr>
      </w:pPr>
      <w:r>
        <w:rPr>
          <w:rFonts w:ascii="Verdana" w:hAnsi="Verdana"/>
          <w:sz w:val="24"/>
          <w:szCs w:val="24"/>
          <w:lang w:val="en-US"/>
        </w:rPr>
        <w:t>Order of CIT(A) confirming penalty-</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16.06.2011</w:t>
      </w:r>
    </w:p>
    <w:p w:rsidR="005E2C83" w:rsidRDefault="005E2C83" w:rsidP="00EF5B9B">
      <w:pPr>
        <w:pStyle w:val="ListParagraph"/>
        <w:numPr>
          <w:ilvl w:val="0"/>
          <w:numId w:val="1"/>
        </w:numPr>
        <w:tabs>
          <w:tab w:val="left" w:pos="851"/>
        </w:tabs>
        <w:rPr>
          <w:rFonts w:ascii="Verdana" w:hAnsi="Verdana"/>
          <w:sz w:val="24"/>
          <w:szCs w:val="24"/>
          <w:lang w:val="en-US"/>
        </w:rPr>
      </w:pPr>
      <w:r>
        <w:rPr>
          <w:rFonts w:ascii="Verdana" w:hAnsi="Verdana"/>
          <w:sz w:val="24"/>
          <w:szCs w:val="24"/>
          <w:lang w:val="en-US"/>
        </w:rPr>
        <w:t>Appeal to ITAT against penalty-</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22.07.2011</w:t>
      </w:r>
    </w:p>
    <w:p w:rsidR="005E2C83" w:rsidRDefault="005E2C83" w:rsidP="00EF5B9B">
      <w:pPr>
        <w:pStyle w:val="ListParagraph"/>
        <w:numPr>
          <w:ilvl w:val="0"/>
          <w:numId w:val="1"/>
        </w:numPr>
        <w:tabs>
          <w:tab w:val="left" w:pos="851"/>
        </w:tabs>
        <w:rPr>
          <w:rFonts w:ascii="Verdana" w:hAnsi="Verdana"/>
          <w:sz w:val="24"/>
          <w:szCs w:val="24"/>
          <w:lang w:val="en-US"/>
        </w:rPr>
      </w:pPr>
      <w:r>
        <w:rPr>
          <w:rFonts w:ascii="Verdana" w:hAnsi="Verdana"/>
          <w:sz w:val="24"/>
          <w:szCs w:val="24"/>
          <w:lang w:val="en-US"/>
        </w:rPr>
        <w:t>ITAT ‘s order confirming addition in quantum-</w:t>
      </w:r>
      <w:r>
        <w:rPr>
          <w:rFonts w:ascii="Verdana" w:hAnsi="Verdana"/>
          <w:sz w:val="24"/>
          <w:szCs w:val="24"/>
          <w:lang w:val="en-US"/>
        </w:rPr>
        <w:tab/>
      </w:r>
      <w:r>
        <w:rPr>
          <w:rFonts w:ascii="Verdana" w:hAnsi="Verdana"/>
          <w:sz w:val="24"/>
          <w:szCs w:val="24"/>
          <w:lang w:val="en-US"/>
        </w:rPr>
        <w:tab/>
        <w:t>15.11.2017</w:t>
      </w:r>
    </w:p>
    <w:p w:rsidR="005E2C83" w:rsidRPr="0076661B" w:rsidRDefault="005E2C83" w:rsidP="00EF5B9B">
      <w:pPr>
        <w:pStyle w:val="ListParagraph"/>
        <w:numPr>
          <w:ilvl w:val="0"/>
          <w:numId w:val="1"/>
        </w:numPr>
        <w:tabs>
          <w:tab w:val="left" w:pos="851"/>
        </w:tabs>
        <w:rPr>
          <w:rFonts w:ascii="Verdana" w:hAnsi="Verdana"/>
          <w:b/>
          <w:sz w:val="24"/>
          <w:szCs w:val="24"/>
          <w:u w:val="single"/>
          <w:lang w:val="en-US"/>
        </w:rPr>
      </w:pPr>
      <w:r w:rsidRPr="0076661B">
        <w:rPr>
          <w:rFonts w:ascii="Verdana" w:hAnsi="Verdana"/>
          <w:b/>
          <w:sz w:val="24"/>
          <w:szCs w:val="24"/>
          <w:u w:val="single"/>
          <w:lang w:val="en-US"/>
        </w:rPr>
        <w:t>Additional ground filed-</w:t>
      </w:r>
      <w:r w:rsidRPr="0076661B">
        <w:rPr>
          <w:rFonts w:ascii="Verdana" w:hAnsi="Verdana"/>
          <w:b/>
          <w:sz w:val="24"/>
          <w:szCs w:val="24"/>
          <w:u w:val="single"/>
          <w:lang w:val="en-US"/>
        </w:rPr>
        <w:tab/>
      </w:r>
      <w:r w:rsidRPr="0076661B">
        <w:rPr>
          <w:rFonts w:ascii="Verdana" w:hAnsi="Verdana"/>
          <w:b/>
          <w:sz w:val="24"/>
          <w:szCs w:val="24"/>
          <w:u w:val="single"/>
          <w:lang w:val="en-US"/>
        </w:rPr>
        <w:tab/>
      </w:r>
      <w:r w:rsidRPr="0076661B">
        <w:rPr>
          <w:rFonts w:ascii="Verdana" w:hAnsi="Verdana"/>
          <w:b/>
          <w:sz w:val="24"/>
          <w:szCs w:val="24"/>
          <w:u w:val="single"/>
          <w:lang w:val="en-US"/>
        </w:rPr>
        <w:tab/>
      </w:r>
      <w:r w:rsidRPr="0076661B">
        <w:rPr>
          <w:rFonts w:ascii="Verdana" w:hAnsi="Verdana"/>
          <w:b/>
          <w:sz w:val="24"/>
          <w:szCs w:val="24"/>
          <w:u w:val="single"/>
          <w:lang w:val="en-US"/>
        </w:rPr>
        <w:tab/>
      </w:r>
      <w:r w:rsidRPr="0076661B">
        <w:rPr>
          <w:rFonts w:ascii="Verdana" w:hAnsi="Verdana"/>
          <w:b/>
          <w:sz w:val="24"/>
          <w:szCs w:val="24"/>
          <w:u w:val="single"/>
          <w:lang w:val="en-US"/>
        </w:rPr>
        <w:tab/>
        <w:t>07.03.2018</w:t>
      </w:r>
    </w:p>
    <w:p w:rsidR="005E2C83" w:rsidRDefault="005E2C83" w:rsidP="00EF5B9B">
      <w:pPr>
        <w:pStyle w:val="ListParagraph"/>
        <w:numPr>
          <w:ilvl w:val="0"/>
          <w:numId w:val="1"/>
        </w:numPr>
        <w:tabs>
          <w:tab w:val="left" w:pos="851"/>
        </w:tabs>
        <w:rPr>
          <w:rFonts w:ascii="Verdana" w:hAnsi="Verdana"/>
          <w:sz w:val="24"/>
          <w:szCs w:val="24"/>
          <w:lang w:val="en-US"/>
        </w:rPr>
      </w:pPr>
      <w:r>
        <w:rPr>
          <w:rFonts w:ascii="Verdana" w:hAnsi="Verdana"/>
          <w:sz w:val="24"/>
          <w:szCs w:val="24"/>
          <w:lang w:val="en-US"/>
        </w:rPr>
        <w:t>Filing of paper book by assessee-</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26.04.2018</w:t>
      </w:r>
    </w:p>
    <w:p w:rsidR="00D51356" w:rsidRDefault="00C16860" w:rsidP="00EF5B9B">
      <w:pPr>
        <w:pStyle w:val="ListParagraph"/>
        <w:numPr>
          <w:ilvl w:val="0"/>
          <w:numId w:val="1"/>
        </w:numPr>
        <w:tabs>
          <w:tab w:val="left" w:pos="851"/>
        </w:tabs>
        <w:rPr>
          <w:rFonts w:ascii="Verdana" w:hAnsi="Verdana"/>
          <w:sz w:val="24"/>
          <w:szCs w:val="24"/>
          <w:lang w:val="en-US"/>
        </w:rPr>
      </w:pPr>
      <w:r>
        <w:rPr>
          <w:rFonts w:ascii="Verdana" w:hAnsi="Verdana"/>
          <w:sz w:val="24"/>
          <w:szCs w:val="24"/>
          <w:lang w:val="en-US"/>
        </w:rPr>
        <w:t>As can be seen that in the notice dated 25</w:t>
      </w:r>
      <w:r w:rsidRPr="00C16860">
        <w:rPr>
          <w:rFonts w:ascii="Verdana" w:hAnsi="Verdana"/>
          <w:sz w:val="24"/>
          <w:szCs w:val="24"/>
          <w:vertAlign w:val="superscript"/>
          <w:lang w:val="en-US"/>
        </w:rPr>
        <w:t>th</w:t>
      </w:r>
      <w:r>
        <w:rPr>
          <w:rFonts w:ascii="Verdana" w:hAnsi="Verdana"/>
          <w:sz w:val="24"/>
          <w:szCs w:val="24"/>
          <w:lang w:val="en-US"/>
        </w:rPr>
        <w:t xml:space="preserve"> January, 2011 issued  by the learned Assessing Officer after the decision dated 19</w:t>
      </w:r>
      <w:r w:rsidRPr="00C16860">
        <w:rPr>
          <w:rFonts w:ascii="Verdana" w:hAnsi="Verdana"/>
          <w:sz w:val="24"/>
          <w:szCs w:val="24"/>
          <w:vertAlign w:val="superscript"/>
          <w:lang w:val="en-US"/>
        </w:rPr>
        <w:t>th</w:t>
      </w:r>
      <w:r>
        <w:rPr>
          <w:rFonts w:ascii="Verdana" w:hAnsi="Verdana"/>
          <w:sz w:val="24"/>
          <w:szCs w:val="24"/>
          <w:lang w:val="en-US"/>
        </w:rPr>
        <w:t xml:space="preserve"> January, 2011 of the learned CIT (A) confirming the addition made, both the limbs of the section are clearly mentioned in the letter enclosed with the notice</w:t>
      </w:r>
      <w:r w:rsidR="00D51356">
        <w:rPr>
          <w:rFonts w:ascii="Verdana" w:hAnsi="Verdana"/>
          <w:sz w:val="24"/>
          <w:szCs w:val="24"/>
          <w:lang w:val="en-US"/>
        </w:rPr>
        <w:t xml:space="preserve"> and in reply dated 21</w:t>
      </w:r>
      <w:r w:rsidR="00D51356" w:rsidRPr="00D51356">
        <w:rPr>
          <w:rFonts w:ascii="Verdana" w:hAnsi="Verdana"/>
          <w:sz w:val="24"/>
          <w:szCs w:val="24"/>
          <w:vertAlign w:val="superscript"/>
          <w:lang w:val="en-US"/>
        </w:rPr>
        <w:t>st</w:t>
      </w:r>
      <w:r w:rsidR="00D51356">
        <w:rPr>
          <w:rFonts w:ascii="Verdana" w:hAnsi="Verdana"/>
          <w:sz w:val="24"/>
          <w:szCs w:val="24"/>
          <w:lang w:val="en-US"/>
        </w:rPr>
        <w:t xml:space="preserve"> January,2010 to the notice dated 30</w:t>
      </w:r>
      <w:r w:rsidR="00D51356" w:rsidRPr="00D51356">
        <w:rPr>
          <w:rFonts w:ascii="Verdana" w:hAnsi="Verdana"/>
          <w:sz w:val="24"/>
          <w:szCs w:val="24"/>
          <w:vertAlign w:val="superscript"/>
          <w:lang w:val="en-US"/>
        </w:rPr>
        <w:t>th</w:t>
      </w:r>
      <w:r w:rsidR="00D51356">
        <w:rPr>
          <w:rFonts w:ascii="Verdana" w:hAnsi="Verdana"/>
          <w:sz w:val="24"/>
          <w:szCs w:val="24"/>
          <w:lang w:val="en-US"/>
        </w:rPr>
        <w:t xml:space="preserve"> December, 2009 along with the assessment order of the same date, the appellant-assessee denied of having concealed income or </w:t>
      </w:r>
      <w:r w:rsidR="00DD568D">
        <w:rPr>
          <w:rFonts w:ascii="Verdana" w:hAnsi="Verdana"/>
          <w:sz w:val="24"/>
          <w:szCs w:val="24"/>
          <w:lang w:val="en-US"/>
        </w:rPr>
        <w:t>furnished</w:t>
      </w:r>
      <w:r w:rsidR="00D51356">
        <w:rPr>
          <w:rFonts w:ascii="Verdana" w:hAnsi="Verdana"/>
          <w:sz w:val="24"/>
          <w:szCs w:val="24"/>
          <w:lang w:val="en-US"/>
        </w:rPr>
        <w:t xml:space="preserve"> inaccurate particulars thereof. </w:t>
      </w:r>
    </w:p>
    <w:p w:rsidR="006C59D2" w:rsidRDefault="00D51356" w:rsidP="00D51356">
      <w:pPr>
        <w:pStyle w:val="ListParagraph"/>
        <w:tabs>
          <w:tab w:val="left" w:pos="851"/>
        </w:tabs>
        <w:rPr>
          <w:rFonts w:ascii="Verdana" w:hAnsi="Verdana"/>
          <w:sz w:val="24"/>
          <w:szCs w:val="24"/>
          <w:lang w:val="en-US"/>
        </w:rPr>
      </w:pPr>
      <w:r>
        <w:rPr>
          <w:rFonts w:ascii="Verdana" w:hAnsi="Verdana"/>
          <w:sz w:val="24"/>
          <w:szCs w:val="24"/>
          <w:lang w:val="en-US"/>
        </w:rPr>
        <w:t>The appellant-assessee knew of this fact well in advance that the learned Assessing Officer issued notices with the inclusion of both limbs of the Section 271(1</w:t>
      </w:r>
      <w:proofErr w:type="gramStart"/>
      <w:r>
        <w:rPr>
          <w:rFonts w:ascii="Verdana" w:hAnsi="Verdana"/>
          <w:sz w:val="24"/>
          <w:szCs w:val="24"/>
          <w:lang w:val="en-US"/>
        </w:rPr>
        <w:t>)(</w:t>
      </w:r>
      <w:proofErr w:type="gramEnd"/>
      <w:r>
        <w:rPr>
          <w:rFonts w:ascii="Verdana" w:hAnsi="Verdana"/>
          <w:sz w:val="24"/>
          <w:szCs w:val="24"/>
          <w:lang w:val="en-US"/>
        </w:rPr>
        <w:t>c) of the Act and thereby did not take any ground to this effect in the grounds of appeal in Form No. 35 before the learned CIT (A)</w:t>
      </w:r>
      <w:r w:rsidR="00DD568D">
        <w:rPr>
          <w:rFonts w:ascii="Verdana" w:hAnsi="Verdana"/>
          <w:sz w:val="24"/>
          <w:szCs w:val="24"/>
          <w:lang w:val="en-US"/>
        </w:rPr>
        <w:t xml:space="preserve"> in appeal</w:t>
      </w:r>
      <w:r>
        <w:rPr>
          <w:rFonts w:ascii="Verdana" w:hAnsi="Verdana"/>
          <w:sz w:val="24"/>
          <w:szCs w:val="24"/>
          <w:lang w:val="en-US"/>
        </w:rPr>
        <w:t xml:space="preserve"> against the order imposing penalty. In such circumstances, would it be permissible to admit the a</w:t>
      </w:r>
      <w:r w:rsidR="00ED025D">
        <w:rPr>
          <w:rFonts w:ascii="Verdana" w:hAnsi="Verdana"/>
          <w:sz w:val="24"/>
          <w:szCs w:val="24"/>
          <w:lang w:val="en-US"/>
        </w:rPr>
        <w:t>dditional ground at this stage when it is not an issue a pure legal one but mixed issue of law and facts.</w:t>
      </w:r>
    </w:p>
    <w:p w:rsidR="00C16860" w:rsidRDefault="00D524A5" w:rsidP="00D51356">
      <w:pPr>
        <w:pStyle w:val="ListParagraph"/>
        <w:tabs>
          <w:tab w:val="left" w:pos="851"/>
        </w:tabs>
        <w:rPr>
          <w:rFonts w:ascii="Verdana" w:hAnsi="Verdana"/>
          <w:sz w:val="24"/>
          <w:szCs w:val="24"/>
          <w:lang w:val="en-US"/>
        </w:rPr>
      </w:pPr>
      <w:r>
        <w:rPr>
          <w:rFonts w:ascii="Verdana" w:hAnsi="Verdana"/>
          <w:sz w:val="24"/>
          <w:szCs w:val="24"/>
          <w:lang w:val="en-US"/>
        </w:rPr>
        <w:t>Copies of the two judgments relied upon in the note dated 28.08.2021 are enclosed. Relevant extracts from the two decisions are already included in the note itself which emphasize (1) what is a precedent and (2) when &amp; to what extent a precedent requires to be followed</w:t>
      </w:r>
      <w:r w:rsidR="00C16860">
        <w:rPr>
          <w:rFonts w:ascii="Verdana" w:hAnsi="Verdana"/>
          <w:sz w:val="24"/>
          <w:szCs w:val="24"/>
          <w:lang w:val="en-US"/>
        </w:rPr>
        <w:t xml:space="preserve"> </w:t>
      </w:r>
    </w:p>
    <w:p w:rsidR="00276C87" w:rsidRDefault="00276C87" w:rsidP="00D51356">
      <w:pPr>
        <w:pStyle w:val="ListParagraph"/>
        <w:tabs>
          <w:tab w:val="left" w:pos="851"/>
        </w:tabs>
        <w:rPr>
          <w:rFonts w:ascii="Verdana" w:hAnsi="Verdana"/>
          <w:sz w:val="24"/>
          <w:szCs w:val="24"/>
          <w:lang w:val="en-US"/>
        </w:rPr>
      </w:pPr>
      <w:r>
        <w:rPr>
          <w:rFonts w:ascii="Verdana" w:hAnsi="Verdana"/>
          <w:sz w:val="24"/>
          <w:szCs w:val="24"/>
          <w:lang w:val="en-US"/>
        </w:rPr>
        <w:t>Whether in the case at present under consideration of the Hon’ble Bench, it can be said that on the facts and in the circumstances of the case the issue of notice in printed form without deleting or striking off the inapplicable part would be fatal leading to the quashing /cancellation of the order imposing penalty in a situation where:</w:t>
      </w:r>
    </w:p>
    <w:p w:rsidR="00276C87" w:rsidRDefault="00276C87" w:rsidP="00276C87">
      <w:pPr>
        <w:pStyle w:val="ListParagraph"/>
        <w:numPr>
          <w:ilvl w:val="0"/>
          <w:numId w:val="5"/>
        </w:numPr>
        <w:tabs>
          <w:tab w:val="left" w:pos="851"/>
        </w:tabs>
        <w:rPr>
          <w:rFonts w:ascii="Verdana" w:hAnsi="Verdana"/>
          <w:sz w:val="24"/>
          <w:szCs w:val="24"/>
          <w:lang w:val="en-US"/>
        </w:rPr>
      </w:pPr>
      <w:r>
        <w:rPr>
          <w:rFonts w:ascii="Verdana" w:hAnsi="Verdana"/>
          <w:sz w:val="24"/>
          <w:szCs w:val="24"/>
          <w:lang w:val="en-US"/>
        </w:rPr>
        <w:t xml:space="preserve">Notice is part of the accompanying detailed letter containing the charge very clearly;  </w:t>
      </w:r>
    </w:p>
    <w:p w:rsidR="00276C87" w:rsidRDefault="00276C87" w:rsidP="00276C87">
      <w:pPr>
        <w:pStyle w:val="ListParagraph"/>
        <w:numPr>
          <w:ilvl w:val="0"/>
          <w:numId w:val="5"/>
        </w:numPr>
        <w:tabs>
          <w:tab w:val="left" w:pos="851"/>
        </w:tabs>
        <w:rPr>
          <w:rFonts w:ascii="Verdana" w:hAnsi="Verdana"/>
          <w:sz w:val="24"/>
          <w:szCs w:val="24"/>
          <w:lang w:val="en-US"/>
        </w:rPr>
      </w:pPr>
      <w:r>
        <w:rPr>
          <w:rFonts w:ascii="Verdana" w:hAnsi="Verdana"/>
          <w:sz w:val="24"/>
          <w:szCs w:val="24"/>
          <w:lang w:val="en-US"/>
        </w:rPr>
        <w:t>Assessee knew much before of this fact but avoided</w:t>
      </w:r>
      <w:r w:rsidR="0045588F">
        <w:rPr>
          <w:rFonts w:ascii="Verdana" w:hAnsi="Verdana"/>
          <w:sz w:val="24"/>
          <w:szCs w:val="24"/>
          <w:lang w:val="en-US"/>
        </w:rPr>
        <w:t xml:space="preserve"> and/ or failed</w:t>
      </w:r>
      <w:r>
        <w:rPr>
          <w:rFonts w:ascii="Verdana" w:hAnsi="Verdana"/>
          <w:sz w:val="24"/>
          <w:szCs w:val="24"/>
          <w:lang w:val="en-US"/>
        </w:rPr>
        <w:t xml:space="preserve"> to include this ground in the memorandum of appeal before the CIT (A) and:  </w:t>
      </w:r>
    </w:p>
    <w:p w:rsidR="0076661B" w:rsidRPr="000C7B36" w:rsidRDefault="00276C87" w:rsidP="0076661B">
      <w:pPr>
        <w:pStyle w:val="ListParagraph"/>
        <w:numPr>
          <w:ilvl w:val="0"/>
          <w:numId w:val="5"/>
        </w:numPr>
        <w:tabs>
          <w:tab w:val="left" w:pos="851"/>
        </w:tabs>
        <w:ind w:left="360"/>
        <w:rPr>
          <w:rFonts w:ascii="Verdana" w:hAnsi="Verdana"/>
          <w:sz w:val="24"/>
          <w:szCs w:val="24"/>
          <w:lang w:val="en-US"/>
        </w:rPr>
      </w:pPr>
      <w:r w:rsidRPr="000C7B36">
        <w:rPr>
          <w:rFonts w:ascii="Verdana" w:hAnsi="Verdana"/>
          <w:sz w:val="24"/>
          <w:szCs w:val="24"/>
          <w:lang w:val="en-US"/>
        </w:rPr>
        <w:t>The Assessing Officer proceeded to impose penalty on both the limbs of the section</w:t>
      </w:r>
      <w:r w:rsidR="003E2F06" w:rsidRPr="000C7B36">
        <w:rPr>
          <w:rFonts w:ascii="Verdana" w:hAnsi="Verdana"/>
          <w:sz w:val="24"/>
          <w:szCs w:val="24"/>
          <w:lang w:val="en-US"/>
        </w:rPr>
        <w:t xml:space="preserve"> and the appellant-assessee furnished explanation causing no prejudice to him.</w:t>
      </w:r>
      <w:bookmarkStart w:id="0" w:name="_GoBack"/>
      <w:bookmarkEnd w:id="0"/>
    </w:p>
    <w:p w:rsidR="0076661B" w:rsidRDefault="0076661B" w:rsidP="0076661B">
      <w:pPr>
        <w:tabs>
          <w:tab w:val="left" w:pos="851"/>
        </w:tabs>
        <w:ind w:left="360"/>
        <w:rPr>
          <w:rFonts w:ascii="Verdana" w:hAnsi="Verdana"/>
          <w:sz w:val="24"/>
          <w:szCs w:val="24"/>
          <w:lang w:val="en-US"/>
        </w:rPr>
      </w:pPr>
      <w:r>
        <w:rPr>
          <w:rFonts w:ascii="Verdana" w:hAnsi="Verdana"/>
          <w:sz w:val="24"/>
          <w:szCs w:val="24"/>
          <w:lang w:val="en-US"/>
        </w:rPr>
        <w:t>Date</w:t>
      </w:r>
      <w:r w:rsidR="004D59D6">
        <w:rPr>
          <w:rFonts w:ascii="Verdana" w:hAnsi="Verdana"/>
          <w:sz w:val="24"/>
          <w:szCs w:val="24"/>
          <w:lang w:val="en-US"/>
        </w:rPr>
        <w:t>: 05.10.2021</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(GIRISH DAVE)</w:t>
      </w:r>
    </w:p>
    <w:p w:rsidR="005E2C83" w:rsidRPr="001C5972" w:rsidRDefault="0076661B" w:rsidP="00477521">
      <w:pPr>
        <w:tabs>
          <w:tab w:val="left" w:pos="851"/>
        </w:tabs>
        <w:ind w:left="360"/>
        <w:rPr>
          <w:rFonts w:ascii="Verdana" w:hAnsi="Verdana"/>
          <w:sz w:val="24"/>
          <w:szCs w:val="24"/>
          <w:lang w:val="en-US"/>
        </w:rPr>
      </w:pPr>
      <w:r>
        <w:rPr>
          <w:rFonts w:ascii="Verdana" w:hAnsi="Verdana"/>
          <w:sz w:val="24"/>
          <w:szCs w:val="24"/>
          <w:lang w:val="en-US"/>
        </w:rPr>
        <w:t>Mumbai</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 xml:space="preserve">        Special Counsel for Revenue</w:t>
      </w:r>
    </w:p>
    <w:sectPr w:rsidR="005E2C83" w:rsidRPr="001C5972" w:rsidSect="00ED025D">
      <w:footerReference w:type="default" r:id="rId8"/>
      <w:pgSz w:w="11906" w:h="16838"/>
      <w:pgMar w:top="709" w:right="1274"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90" w:rsidRDefault="008F0590" w:rsidP="005F08A6">
      <w:pPr>
        <w:spacing w:after="0" w:line="240" w:lineRule="auto"/>
      </w:pPr>
      <w:r>
        <w:separator/>
      </w:r>
    </w:p>
  </w:endnote>
  <w:endnote w:type="continuationSeparator" w:id="0">
    <w:p w:rsidR="008F0590" w:rsidRDefault="008F0590" w:rsidP="005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7182"/>
      <w:docPartObj>
        <w:docPartGallery w:val="Page Numbers (Bottom of Page)"/>
        <w:docPartUnique/>
      </w:docPartObj>
    </w:sdtPr>
    <w:sdtEndPr>
      <w:rPr>
        <w:noProof/>
      </w:rPr>
    </w:sdtEndPr>
    <w:sdtContent>
      <w:p w:rsidR="000C7B36" w:rsidRDefault="000C7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F08A6" w:rsidRDefault="005F0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90" w:rsidRDefault="008F0590" w:rsidP="005F08A6">
      <w:pPr>
        <w:spacing w:after="0" w:line="240" w:lineRule="auto"/>
      </w:pPr>
      <w:r>
        <w:separator/>
      </w:r>
    </w:p>
  </w:footnote>
  <w:footnote w:type="continuationSeparator" w:id="0">
    <w:p w:rsidR="008F0590" w:rsidRDefault="008F0590" w:rsidP="005F0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967"/>
    <w:multiLevelType w:val="hybridMultilevel"/>
    <w:tmpl w:val="CB2CDA9A"/>
    <w:lvl w:ilvl="0" w:tplc="ACE68494">
      <w:start w:val="1"/>
      <w:numFmt w:val="upp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8F907A5"/>
    <w:multiLevelType w:val="hybridMultilevel"/>
    <w:tmpl w:val="4564810C"/>
    <w:lvl w:ilvl="0" w:tplc="16BCA8CC">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440128F1"/>
    <w:multiLevelType w:val="hybridMultilevel"/>
    <w:tmpl w:val="E19A67BE"/>
    <w:lvl w:ilvl="0" w:tplc="55C4CCC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7762C68"/>
    <w:multiLevelType w:val="hybridMultilevel"/>
    <w:tmpl w:val="ABF42BF2"/>
    <w:lvl w:ilvl="0" w:tplc="304C3D20">
      <w:start w:val="1"/>
      <w:numFmt w:val="upperLetter"/>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5611CC"/>
    <w:multiLevelType w:val="hybridMultilevel"/>
    <w:tmpl w:val="2B6E8E20"/>
    <w:lvl w:ilvl="0" w:tplc="525E34A0">
      <w:start w:val="1"/>
      <w:numFmt w:val="upp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6A"/>
    <w:rsid w:val="00087216"/>
    <w:rsid w:val="000C7B36"/>
    <w:rsid w:val="001424A9"/>
    <w:rsid w:val="001C5972"/>
    <w:rsid w:val="002008E5"/>
    <w:rsid w:val="0025571D"/>
    <w:rsid w:val="00276C87"/>
    <w:rsid w:val="003E2F06"/>
    <w:rsid w:val="0045588F"/>
    <w:rsid w:val="00477521"/>
    <w:rsid w:val="004D59D6"/>
    <w:rsid w:val="004D7C97"/>
    <w:rsid w:val="005B0CD2"/>
    <w:rsid w:val="005E2C83"/>
    <w:rsid w:val="005F08A6"/>
    <w:rsid w:val="006C59D2"/>
    <w:rsid w:val="0076661B"/>
    <w:rsid w:val="0078246A"/>
    <w:rsid w:val="007869E5"/>
    <w:rsid w:val="008E4309"/>
    <w:rsid w:val="008F0590"/>
    <w:rsid w:val="00B25D10"/>
    <w:rsid w:val="00B458CE"/>
    <w:rsid w:val="00C16860"/>
    <w:rsid w:val="00D2449F"/>
    <w:rsid w:val="00D51356"/>
    <w:rsid w:val="00D524A5"/>
    <w:rsid w:val="00D80013"/>
    <w:rsid w:val="00DB3148"/>
    <w:rsid w:val="00DD568D"/>
    <w:rsid w:val="00E9471A"/>
    <w:rsid w:val="00ED025D"/>
    <w:rsid w:val="00EF5B9B"/>
    <w:rsid w:val="00F76D16"/>
    <w:rsid w:val="00FA1D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72"/>
    <w:pPr>
      <w:ind w:left="720"/>
      <w:contextualSpacing/>
    </w:pPr>
  </w:style>
  <w:style w:type="paragraph" w:styleId="Header">
    <w:name w:val="header"/>
    <w:basedOn w:val="Normal"/>
    <w:link w:val="HeaderChar"/>
    <w:uiPriority w:val="99"/>
    <w:unhideWhenUsed/>
    <w:rsid w:val="005F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8A6"/>
  </w:style>
  <w:style w:type="paragraph" w:styleId="Footer">
    <w:name w:val="footer"/>
    <w:basedOn w:val="Normal"/>
    <w:link w:val="FooterChar"/>
    <w:uiPriority w:val="99"/>
    <w:unhideWhenUsed/>
    <w:rsid w:val="005F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72"/>
    <w:pPr>
      <w:ind w:left="720"/>
      <w:contextualSpacing/>
    </w:pPr>
  </w:style>
  <w:style w:type="paragraph" w:styleId="Header">
    <w:name w:val="header"/>
    <w:basedOn w:val="Normal"/>
    <w:link w:val="HeaderChar"/>
    <w:uiPriority w:val="99"/>
    <w:unhideWhenUsed/>
    <w:rsid w:val="005F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8A6"/>
  </w:style>
  <w:style w:type="paragraph" w:styleId="Footer">
    <w:name w:val="footer"/>
    <w:basedOn w:val="Normal"/>
    <w:link w:val="FooterChar"/>
    <w:uiPriority w:val="99"/>
    <w:unhideWhenUsed/>
    <w:rsid w:val="005F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27</cp:revision>
  <dcterms:created xsi:type="dcterms:W3CDTF">2021-10-02T10:50:00Z</dcterms:created>
  <dcterms:modified xsi:type="dcterms:W3CDTF">2021-10-04T09:00:00Z</dcterms:modified>
</cp:coreProperties>
</file>