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1DFB3" w14:textId="3BB59195" w:rsidR="00694B6C" w:rsidRDefault="00F82D87" w:rsidP="00F82D87">
      <w:pPr>
        <w:spacing w:after="0"/>
        <w:rPr>
          <w:rFonts w:ascii="Georgia" w:hAnsi="Georgia"/>
          <w:sz w:val="26"/>
          <w:szCs w:val="26"/>
          <w:lang w:val="en-GB"/>
        </w:rPr>
      </w:pPr>
      <w:bookmarkStart w:id="0" w:name="_GoBack"/>
      <w:r>
        <w:rPr>
          <w:rFonts w:ascii="Georgia" w:hAnsi="Georgia"/>
          <w:sz w:val="26"/>
          <w:szCs w:val="26"/>
          <w:lang w:val="en-GB"/>
        </w:rPr>
        <w:t>To,</w:t>
      </w:r>
      <w:r>
        <w:rPr>
          <w:rFonts w:ascii="Georgia" w:hAnsi="Georgia"/>
          <w:sz w:val="26"/>
          <w:szCs w:val="26"/>
          <w:lang w:val="en-GB"/>
        </w:rPr>
        <w:tab/>
      </w:r>
      <w:r>
        <w:rPr>
          <w:rFonts w:ascii="Georgia" w:hAnsi="Georgia"/>
          <w:sz w:val="26"/>
          <w:szCs w:val="26"/>
          <w:lang w:val="en-GB"/>
        </w:rPr>
        <w:tab/>
      </w:r>
      <w:r>
        <w:rPr>
          <w:rFonts w:ascii="Georgia" w:hAnsi="Georgia"/>
          <w:sz w:val="26"/>
          <w:szCs w:val="26"/>
          <w:lang w:val="en-GB"/>
        </w:rPr>
        <w:tab/>
      </w:r>
      <w:r>
        <w:rPr>
          <w:rFonts w:ascii="Georgia" w:hAnsi="Georgia"/>
          <w:sz w:val="26"/>
          <w:szCs w:val="26"/>
          <w:lang w:val="en-GB"/>
        </w:rPr>
        <w:tab/>
      </w:r>
      <w:r>
        <w:rPr>
          <w:rFonts w:ascii="Georgia" w:hAnsi="Georgia"/>
          <w:sz w:val="26"/>
          <w:szCs w:val="26"/>
          <w:lang w:val="en-GB"/>
        </w:rPr>
        <w:tab/>
      </w:r>
      <w:r>
        <w:rPr>
          <w:rFonts w:ascii="Georgia" w:hAnsi="Georgia"/>
          <w:sz w:val="26"/>
          <w:szCs w:val="26"/>
          <w:lang w:val="en-GB"/>
        </w:rPr>
        <w:tab/>
      </w:r>
      <w:r>
        <w:rPr>
          <w:rFonts w:ascii="Georgia" w:hAnsi="Georgia"/>
          <w:sz w:val="26"/>
          <w:szCs w:val="26"/>
          <w:lang w:val="en-GB"/>
        </w:rPr>
        <w:tab/>
      </w:r>
      <w:r>
        <w:rPr>
          <w:rFonts w:ascii="Georgia" w:hAnsi="Georgia"/>
          <w:sz w:val="26"/>
          <w:szCs w:val="26"/>
          <w:lang w:val="en-GB"/>
        </w:rPr>
        <w:tab/>
        <w:t>03</w:t>
      </w:r>
      <w:r w:rsidRPr="00F82D87">
        <w:rPr>
          <w:rFonts w:ascii="Georgia" w:hAnsi="Georgia"/>
          <w:sz w:val="26"/>
          <w:szCs w:val="26"/>
          <w:vertAlign w:val="superscript"/>
          <w:lang w:val="en-GB"/>
        </w:rPr>
        <w:t>rd</w:t>
      </w:r>
      <w:r>
        <w:rPr>
          <w:rFonts w:ascii="Georgia" w:hAnsi="Georgia"/>
          <w:sz w:val="26"/>
          <w:szCs w:val="26"/>
          <w:lang w:val="en-GB"/>
        </w:rPr>
        <w:t xml:space="preserve"> February, 2023</w:t>
      </w:r>
    </w:p>
    <w:p w14:paraId="169B033E" w14:textId="3CB18855" w:rsidR="00F82D87" w:rsidRDefault="00F82D87" w:rsidP="00F82D87">
      <w:pPr>
        <w:spacing w:after="0"/>
        <w:rPr>
          <w:rFonts w:ascii="Georgia" w:hAnsi="Georgia"/>
          <w:sz w:val="26"/>
          <w:szCs w:val="26"/>
          <w:lang w:val="en-GB"/>
        </w:rPr>
      </w:pPr>
      <w:r>
        <w:rPr>
          <w:rFonts w:ascii="Georgia" w:hAnsi="Georgia"/>
          <w:sz w:val="26"/>
          <w:szCs w:val="26"/>
          <w:lang w:val="en-GB"/>
        </w:rPr>
        <w:t>Shri Anil Jain</w:t>
      </w:r>
    </w:p>
    <w:p w14:paraId="4C7CAB2E" w14:textId="77777777" w:rsidR="00F82D87" w:rsidRDefault="00F82D87" w:rsidP="00F82D87">
      <w:pPr>
        <w:spacing w:after="0"/>
        <w:rPr>
          <w:rFonts w:ascii="Georgia" w:hAnsi="Georgia"/>
          <w:sz w:val="26"/>
          <w:szCs w:val="26"/>
          <w:lang w:val="en-GB"/>
        </w:rPr>
      </w:pPr>
      <w:r>
        <w:rPr>
          <w:rFonts w:ascii="Georgia" w:hAnsi="Georgia"/>
          <w:sz w:val="26"/>
          <w:szCs w:val="26"/>
          <w:lang w:val="en-GB"/>
        </w:rPr>
        <w:t xml:space="preserve">Advocate </w:t>
      </w:r>
    </w:p>
    <w:p w14:paraId="53A48665" w14:textId="0BB78681" w:rsidR="00F82D87" w:rsidRDefault="00F82D87" w:rsidP="00F82D87">
      <w:pPr>
        <w:spacing w:after="0"/>
        <w:rPr>
          <w:rFonts w:ascii="Georgia" w:hAnsi="Georgia"/>
          <w:sz w:val="26"/>
          <w:szCs w:val="26"/>
          <w:lang w:val="en-GB"/>
        </w:rPr>
      </w:pPr>
      <w:r>
        <w:rPr>
          <w:rFonts w:ascii="Georgia" w:hAnsi="Georgia"/>
          <w:sz w:val="26"/>
          <w:szCs w:val="26"/>
          <w:lang w:val="en-GB"/>
        </w:rPr>
        <w:t>Udaipur.</w:t>
      </w:r>
    </w:p>
    <w:p w14:paraId="1AAFAE8D" w14:textId="60C806BA" w:rsidR="00F82D87" w:rsidRDefault="00F82D87" w:rsidP="004925B4">
      <w:pPr>
        <w:spacing w:after="0" w:line="240" w:lineRule="auto"/>
        <w:rPr>
          <w:rFonts w:ascii="Georgia" w:hAnsi="Georgia"/>
          <w:sz w:val="26"/>
          <w:szCs w:val="26"/>
          <w:lang w:val="en-GB"/>
        </w:rPr>
      </w:pPr>
    </w:p>
    <w:p w14:paraId="74B6ED8D" w14:textId="57BED0AC" w:rsidR="00F82D87" w:rsidRDefault="00F82D87" w:rsidP="00F82D87">
      <w:pPr>
        <w:spacing w:after="0"/>
        <w:ind w:left="2160" w:hanging="720"/>
        <w:rPr>
          <w:rFonts w:ascii="Georgia" w:hAnsi="Georgia"/>
          <w:sz w:val="26"/>
          <w:szCs w:val="26"/>
          <w:lang w:val="en-GB"/>
        </w:rPr>
      </w:pPr>
      <w:proofErr w:type="gramStart"/>
      <w:r>
        <w:rPr>
          <w:rFonts w:ascii="Georgia" w:hAnsi="Georgia"/>
          <w:sz w:val="26"/>
          <w:szCs w:val="26"/>
          <w:lang w:val="en-GB"/>
        </w:rPr>
        <w:t>Sub:-</w:t>
      </w:r>
      <w:proofErr w:type="gramEnd"/>
      <w:r>
        <w:rPr>
          <w:rFonts w:ascii="Georgia" w:hAnsi="Georgia"/>
          <w:sz w:val="26"/>
          <w:szCs w:val="26"/>
          <w:lang w:val="en-GB"/>
        </w:rPr>
        <w:tab/>
        <w:t>Income Tax Assessment in the case of Smt. Indu Bala Porwal for the A.Y.2014-15.</w:t>
      </w:r>
    </w:p>
    <w:p w14:paraId="4E584288" w14:textId="2AFD3266" w:rsidR="00F82D87" w:rsidRDefault="00F82D87" w:rsidP="004925B4">
      <w:pPr>
        <w:spacing w:after="0" w:line="240" w:lineRule="auto"/>
        <w:rPr>
          <w:rFonts w:ascii="Georgia" w:hAnsi="Georgia"/>
          <w:sz w:val="26"/>
          <w:szCs w:val="26"/>
          <w:lang w:val="en-GB"/>
        </w:rPr>
      </w:pPr>
    </w:p>
    <w:p w14:paraId="4E834879" w14:textId="3276E588" w:rsidR="00F82D87" w:rsidRDefault="00F82D87" w:rsidP="00F82D87">
      <w:pPr>
        <w:spacing w:after="0"/>
        <w:rPr>
          <w:rFonts w:ascii="Georgia" w:hAnsi="Georgia"/>
          <w:sz w:val="26"/>
          <w:szCs w:val="26"/>
          <w:lang w:val="en-GB"/>
        </w:rPr>
      </w:pPr>
      <w:r>
        <w:rPr>
          <w:rFonts w:ascii="Georgia" w:hAnsi="Georgia"/>
          <w:sz w:val="26"/>
          <w:szCs w:val="26"/>
          <w:lang w:val="en-GB"/>
        </w:rPr>
        <w:t>Sir,</w:t>
      </w:r>
    </w:p>
    <w:p w14:paraId="16505180" w14:textId="22534CBB" w:rsidR="00F82D87" w:rsidRDefault="00F82D87" w:rsidP="00F82D87">
      <w:pPr>
        <w:spacing w:after="0"/>
        <w:rPr>
          <w:rFonts w:ascii="Georgia" w:hAnsi="Georgia"/>
          <w:sz w:val="26"/>
          <w:szCs w:val="26"/>
          <w:lang w:val="en-GB"/>
        </w:rPr>
      </w:pPr>
    </w:p>
    <w:p w14:paraId="70B3625F" w14:textId="4E3BB957" w:rsidR="00F82D87" w:rsidRDefault="00F82D87" w:rsidP="00F82D87">
      <w:pPr>
        <w:spacing w:after="0" w:line="360" w:lineRule="auto"/>
        <w:jc w:val="both"/>
        <w:rPr>
          <w:rFonts w:ascii="Georgia" w:hAnsi="Georgia"/>
          <w:sz w:val="26"/>
          <w:szCs w:val="26"/>
          <w:lang w:val="en-GB"/>
        </w:rPr>
      </w:pPr>
      <w:r>
        <w:rPr>
          <w:rFonts w:ascii="Georgia" w:hAnsi="Georgia"/>
          <w:sz w:val="26"/>
          <w:szCs w:val="26"/>
          <w:lang w:val="en-GB"/>
        </w:rPr>
        <w:tab/>
      </w:r>
      <w:r>
        <w:rPr>
          <w:rFonts w:ascii="Georgia" w:hAnsi="Georgia"/>
          <w:sz w:val="26"/>
          <w:szCs w:val="26"/>
          <w:lang w:val="en-GB"/>
        </w:rPr>
        <w:tab/>
        <w:t>The Assessment Order passed on 30</w:t>
      </w:r>
      <w:r w:rsidRPr="00F82D87">
        <w:rPr>
          <w:rFonts w:ascii="Georgia" w:hAnsi="Georgia"/>
          <w:sz w:val="26"/>
          <w:szCs w:val="26"/>
          <w:vertAlign w:val="superscript"/>
          <w:lang w:val="en-GB"/>
        </w:rPr>
        <w:t>th</w:t>
      </w:r>
      <w:r>
        <w:rPr>
          <w:rFonts w:ascii="Georgia" w:hAnsi="Georgia"/>
          <w:sz w:val="26"/>
          <w:szCs w:val="26"/>
          <w:lang w:val="en-GB"/>
        </w:rPr>
        <w:t xml:space="preserve"> September, 2021 by the Dy. Commissioner of Income Tax, Central Circle, Udaipur is under </w:t>
      </w:r>
      <w:bookmarkEnd w:id="0"/>
      <w:r>
        <w:rPr>
          <w:rFonts w:ascii="Georgia" w:hAnsi="Georgia"/>
          <w:sz w:val="26"/>
          <w:szCs w:val="26"/>
          <w:lang w:val="en-GB"/>
        </w:rPr>
        <w:t>appeal before the Ld. CIT(A), Udaipur.</w:t>
      </w:r>
    </w:p>
    <w:p w14:paraId="6442216F" w14:textId="58098F91" w:rsidR="00F82D87" w:rsidRDefault="00F82D87" w:rsidP="00F82D87">
      <w:pPr>
        <w:spacing w:after="0" w:line="240" w:lineRule="auto"/>
        <w:jc w:val="both"/>
        <w:rPr>
          <w:rFonts w:ascii="Georgia" w:hAnsi="Georgia"/>
          <w:sz w:val="26"/>
          <w:szCs w:val="26"/>
          <w:lang w:val="en-GB"/>
        </w:rPr>
      </w:pPr>
    </w:p>
    <w:p w14:paraId="01D58B44" w14:textId="2F692F84" w:rsidR="00F82D87" w:rsidRDefault="00F82D87" w:rsidP="00F82D87">
      <w:pPr>
        <w:spacing w:after="0" w:line="360" w:lineRule="auto"/>
        <w:jc w:val="both"/>
        <w:rPr>
          <w:rFonts w:ascii="Georgia" w:hAnsi="Georgia"/>
          <w:sz w:val="26"/>
          <w:szCs w:val="26"/>
          <w:lang w:val="en-GB"/>
        </w:rPr>
      </w:pPr>
      <w:r>
        <w:rPr>
          <w:rFonts w:ascii="Georgia" w:hAnsi="Georgia"/>
          <w:sz w:val="26"/>
          <w:szCs w:val="26"/>
          <w:lang w:val="en-GB"/>
        </w:rPr>
        <w:tab/>
      </w:r>
      <w:r>
        <w:rPr>
          <w:rFonts w:ascii="Georgia" w:hAnsi="Georgia"/>
          <w:sz w:val="26"/>
          <w:szCs w:val="26"/>
          <w:lang w:val="en-GB"/>
        </w:rPr>
        <w:tab/>
        <w:t>I have formulated sixteen issues for consideration of Ld. CIT(A) and in Form No.35, we have challenged the jurisdiction of the Ld. Assessing Officer to complete the assessment. Ground No.1 included in Form No.35 for the sake of reference is reproduced as under: -</w:t>
      </w:r>
    </w:p>
    <w:p w14:paraId="09932204" w14:textId="77777777" w:rsidR="00F82D87" w:rsidRDefault="00F82D87" w:rsidP="004925B4">
      <w:pPr>
        <w:spacing w:after="0" w:line="240" w:lineRule="auto"/>
        <w:jc w:val="both"/>
        <w:rPr>
          <w:rFonts w:ascii="Georgia" w:hAnsi="Georgia"/>
          <w:sz w:val="26"/>
          <w:szCs w:val="26"/>
          <w:lang w:val="en-GB"/>
        </w:rPr>
      </w:pPr>
    </w:p>
    <w:p w14:paraId="17C036C6" w14:textId="745E5A1F" w:rsidR="00F82D87" w:rsidRDefault="00F82D87" w:rsidP="00F82D87">
      <w:pPr>
        <w:spacing w:after="0" w:line="360" w:lineRule="auto"/>
        <w:jc w:val="both"/>
        <w:rPr>
          <w:rFonts w:ascii="Georgia" w:hAnsi="Georgia"/>
          <w:sz w:val="26"/>
          <w:szCs w:val="26"/>
          <w:lang w:val="en-GB"/>
        </w:rPr>
      </w:pPr>
      <w:r>
        <w:rPr>
          <w:rFonts w:ascii="Georgia" w:hAnsi="Georgia"/>
          <w:sz w:val="26"/>
          <w:szCs w:val="26"/>
          <w:lang w:val="en-GB"/>
        </w:rPr>
        <w:tab/>
      </w:r>
      <w:r>
        <w:rPr>
          <w:rFonts w:ascii="Georgia" w:hAnsi="Georgia"/>
          <w:sz w:val="26"/>
          <w:szCs w:val="26"/>
          <w:lang w:val="en-GB"/>
        </w:rPr>
        <w:tab/>
        <w:t>“Under the facts &amp; circumstances of the case and in law, the Assessment Order dated 30/09/2021 passed by the Ld. Assessing Officer under Section 153A of the Act assessing total income at Rs.101,68,34,711/- is arbitrary perverse, without jurisdiction, non-speaking and bad in law.”</w:t>
      </w:r>
    </w:p>
    <w:p w14:paraId="62B43B70" w14:textId="37593259" w:rsidR="00F82D87" w:rsidRDefault="00F82D87" w:rsidP="004925B4">
      <w:pPr>
        <w:spacing w:after="0" w:line="240" w:lineRule="auto"/>
        <w:jc w:val="both"/>
        <w:rPr>
          <w:rFonts w:ascii="Georgia" w:hAnsi="Georgia"/>
          <w:sz w:val="26"/>
          <w:szCs w:val="26"/>
          <w:lang w:val="en-GB"/>
        </w:rPr>
      </w:pPr>
    </w:p>
    <w:p w14:paraId="73ED4111" w14:textId="13E26812" w:rsidR="00F82D87" w:rsidRDefault="00F82D87" w:rsidP="00F82D87">
      <w:pPr>
        <w:spacing w:after="0" w:line="360" w:lineRule="auto"/>
        <w:jc w:val="both"/>
        <w:rPr>
          <w:rFonts w:ascii="Georgia" w:hAnsi="Georgia"/>
          <w:sz w:val="26"/>
          <w:szCs w:val="26"/>
          <w:lang w:val="en-GB"/>
        </w:rPr>
      </w:pPr>
      <w:r>
        <w:rPr>
          <w:rFonts w:ascii="Georgia" w:hAnsi="Georgia"/>
          <w:sz w:val="26"/>
          <w:szCs w:val="26"/>
          <w:lang w:val="en-GB"/>
        </w:rPr>
        <w:tab/>
      </w:r>
      <w:r>
        <w:rPr>
          <w:rFonts w:ascii="Georgia" w:hAnsi="Georgia"/>
          <w:sz w:val="26"/>
          <w:szCs w:val="26"/>
          <w:lang w:val="en-GB"/>
        </w:rPr>
        <w:tab/>
        <w:t xml:space="preserve">Without prejudice to whatever has been submitted before Ld. CIT(A) in respect of this ground, we have to further </w:t>
      </w:r>
      <w:r w:rsidR="006F77A6">
        <w:rPr>
          <w:rFonts w:ascii="Georgia" w:hAnsi="Georgia"/>
          <w:sz w:val="26"/>
          <w:szCs w:val="26"/>
          <w:lang w:val="en-GB"/>
        </w:rPr>
        <w:t>elaborate before CIT(A) that the Assessment Order is without jurisdiction in the sense</w:t>
      </w:r>
      <w:r w:rsidR="00E14CBD">
        <w:rPr>
          <w:rFonts w:ascii="Georgia" w:hAnsi="Georgia"/>
          <w:sz w:val="26"/>
          <w:szCs w:val="26"/>
          <w:lang w:val="en-GB"/>
        </w:rPr>
        <w:t xml:space="preserve"> that the </w:t>
      </w:r>
      <w:r w:rsidR="00BA32BF">
        <w:rPr>
          <w:rFonts w:ascii="Georgia" w:hAnsi="Georgia"/>
          <w:sz w:val="26"/>
          <w:szCs w:val="26"/>
          <w:lang w:val="en-GB"/>
        </w:rPr>
        <w:t>foreign income and value of foreign assets which are included as per Grounds of Appeal</w:t>
      </w:r>
      <w:r w:rsidR="002B5693">
        <w:rPr>
          <w:rFonts w:ascii="Georgia" w:hAnsi="Georgia"/>
          <w:sz w:val="26"/>
          <w:szCs w:val="26"/>
          <w:lang w:val="en-GB"/>
        </w:rPr>
        <w:t xml:space="preserve"> </w:t>
      </w:r>
      <w:r w:rsidR="00BA32BF">
        <w:rPr>
          <w:rFonts w:ascii="Georgia" w:hAnsi="Georgia"/>
          <w:sz w:val="26"/>
          <w:szCs w:val="26"/>
          <w:lang w:val="en-GB"/>
        </w:rPr>
        <w:t>number 8 to 18 in the Form No.35 (Memorandum of Appeal) requires to be deleted.</w:t>
      </w:r>
    </w:p>
    <w:p w14:paraId="6FBF2732" w14:textId="134F8CE6" w:rsidR="00BA32BF" w:rsidRDefault="00BA32BF" w:rsidP="00F82D87">
      <w:pPr>
        <w:spacing w:after="0" w:line="360" w:lineRule="auto"/>
        <w:jc w:val="both"/>
        <w:rPr>
          <w:rFonts w:ascii="Georgia" w:hAnsi="Georgia"/>
          <w:sz w:val="26"/>
          <w:szCs w:val="26"/>
          <w:lang w:val="en-GB"/>
        </w:rPr>
      </w:pPr>
    </w:p>
    <w:p w14:paraId="6DDCFE09" w14:textId="0C64284A" w:rsidR="00BA32BF" w:rsidRDefault="00BA32BF" w:rsidP="00F82D87">
      <w:pPr>
        <w:spacing w:after="0" w:line="360" w:lineRule="auto"/>
        <w:jc w:val="both"/>
        <w:rPr>
          <w:rFonts w:ascii="Georgia" w:hAnsi="Georgia"/>
          <w:sz w:val="26"/>
          <w:szCs w:val="26"/>
          <w:lang w:val="en-GB"/>
        </w:rPr>
      </w:pPr>
      <w:r>
        <w:rPr>
          <w:rFonts w:ascii="Georgia" w:hAnsi="Georgia"/>
          <w:sz w:val="26"/>
          <w:szCs w:val="26"/>
          <w:lang w:val="en-GB"/>
        </w:rPr>
        <w:lastRenderedPageBreak/>
        <w:tab/>
      </w:r>
      <w:r>
        <w:rPr>
          <w:rFonts w:ascii="Georgia" w:hAnsi="Georgia"/>
          <w:sz w:val="26"/>
          <w:szCs w:val="26"/>
          <w:lang w:val="en-GB"/>
        </w:rPr>
        <w:tab/>
        <w:t>The Ld. Assessing Officer has himself makes a reference in the Assessment Order comments on the provisions of Black Money Act in Para 5.12(a) at Page No.19 of the Order.</w:t>
      </w:r>
    </w:p>
    <w:p w14:paraId="796A5521" w14:textId="7F50C04E" w:rsidR="00BA32BF" w:rsidRDefault="00BA32BF" w:rsidP="004925B4">
      <w:pPr>
        <w:spacing w:after="0" w:line="240" w:lineRule="auto"/>
        <w:jc w:val="both"/>
        <w:rPr>
          <w:rFonts w:ascii="Georgia" w:hAnsi="Georgia"/>
          <w:sz w:val="26"/>
          <w:szCs w:val="26"/>
          <w:lang w:val="en-GB"/>
        </w:rPr>
      </w:pPr>
    </w:p>
    <w:p w14:paraId="57EE7123" w14:textId="2D39191A" w:rsidR="00BA32BF" w:rsidRDefault="00BA32BF" w:rsidP="00F82D87">
      <w:pPr>
        <w:spacing w:after="0" w:line="360" w:lineRule="auto"/>
        <w:jc w:val="both"/>
        <w:rPr>
          <w:rFonts w:ascii="Georgia" w:hAnsi="Georgia"/>
          <w:sz w:val="26"/>
          <w:szCs w:val="26"/>
          <w:lang w:val="en-GB"/>
        </w:rPr>
      </w:pPr>
      <w:r>
        <w:rPr>
          <w:rFonts w:ascii="Georgia" w:hAnsi="Georgia"/>
          <w:sz w:val="26"/>
          <w:szCs w:val="26"/>
          <w:lang w:val="en-GB"/>
        </w:rPr>
        <w:tab/>
      </w:r>
      <w:r>
        <w:rPr>
          <w:rFonts w:ascii="Georgia" w:hAnsi="Georgia"/>
          <w:sz w:val="26"/>
          <w:szCs w:val="26"/>
          <w:lang w:val="en-GB"/>
        </w:rPr>
        <w:tab/>
        <w:t>In this regard we must raised and submit before Ld. CIT(A) that the Act of inclusion of alleged foreign income and value of foreign assets under the Income Tax Act, 1961 is bad in law, illegal and unwarranted which requires to be deleted.</w:t>
      </w:r>
    </w:p>
    <w:p w14:paraId="0284C0CF" w14:textId="39E567D1" w:rsidR="00BA32BF" w:rsidRDefault="00BA32BF" w:rsidP="004925B4">
      <w:pPr>
        <w:spacing w:after="0" w:line="240" w:lineRule="auto"/>
        <w:jc w:val="both"/>
        <w:rPr>
          <w:rFonts w:ascii="Georgia" w:hAnsi="Georgia"/>
          <w:sz w:val="26"/>
          <w:szCs w:val="26"/>
          <w:lang w:val="en-GB"/>
        </w:rPr>
      </w:pPr>
    </w:p>
    <w:p w14:paraId="30CC939F" w14:textId="163DF270" w:rsidR="00BA32BF" w:rsidRDefault="00BA32BF" w:rsidP="00F82D87">
      <w:pPr>
        <w:spacing w:after="0" w:line="360" w:lineRule="auto"/>
        <w:jc w:val="both"/>
        <w:rPr>
          <w:rFonts w:ascii="Georgia" w:hAnsi="Georgia"/>
          <w:sz w:val="26"/>
          <w:szCs w:val="26"/>
          <w:lang w:val="en-GB"/>
        </w:rPr>
      </w:pPr>
      <w:r>
        <w:rPr>
          <w:rFonts w:ascii="Georgia" w:hAnsi="Georgia"/>
          <w:sz w:val="26"/>
          <w:szCs w:val="26"/>
          <w:lang w:val="en-GB"/>
        </w:rPr>
        <w:tab/>
      </w:r>
      <w:r>
        <w:rPr>
          <w:rFonts w:ascii="Georgia" w:hAnsi="Georgia"/>
          <w:sz w:val="26"/>
          <w:szCs w:val="26"/>
          <w:lang w:val="en-GB"/>
        </w:rPr>
        <w:tab/>
        <w:t xml:space="preserve">Section 4(3) of the Black Money (Undisclosed Foreign Income and Assets) and Imposition of Tax Act, 2015 clearly stipulates as </w:t>
      </w:r>
      <w:proofErr w:type="gramStart"/>
      <w:r>
        <w:rPr>
          <w:rFonts w:ascii="Georgia" w:hAnsi="Georgia"/>
          <w:sz w:val="26"/>
          <w:szCs w:val="26"/>
          <w:lang w:val="en-GB"/>
        </w:rPr>
        <w:t>under:-</w:t>
      </w:r>
      <w:proofErr w:type="gramEnd"/>
    </w:p>
    <w:p w14:paraId="618A7F1D" w14:textId="649145D4" w:rsidR="00BA32BF" w:rsidRDefault="00BA32BF" w:rsidP="00F82D87">
      <w:pPr>
        <w:spacing w:after="0" w:line="360" w:lineRule="auto"/>
        <w:jc w:val="both"/>
        <w:rPr>
          <w:rFonts w:ascii="Georgia" w:hAnsi="Georgia"/>
          <w:sz w:val="26"/>
          <w:szCs w:val="26"/>
          <w:lang w:val="en-GB"/>
        </w:rPr>
      </w:pPr>
      <w:r>
        <w:rPr>
          <w:rFonts w:ascii="Georgia" w:hAnsi="Georgia"/>
          <w:sz w:val="26"/>
          <w:szCs w:val="26"/>
          <w:lang w:val="en-GB"/>
        </w:rPr>
        <w:tab/>
      </w:r>
      <w:r>
        <w:rPr>
          <w:rFonts w:ascii="Georgia" w:hAnsi="Georgia"/>
          <w:sz w:val="26"/>
          <w:szCs w:val="26"/>
          <w:lang w:val="en-GB"/>
        </w:rPr>
        <w:tab/>
        <w:t>(3) “The income included in the total undisclosed foreign income and asset under this Act shall not form part of the total income under the Income Tax Act</w:t>
      </w:r>
      <w:r w:rsidR="004925B4">
        <w:rPr>
          <w:rFonts w:ascii="Georgia" w:hAnsi="Georgia"/>
          <w:sz w:val="26"/>
          <w:szCs w:val="26"/>
          <w:lang w:val="en-GB"/>
        </w:rPr>
        <w:t>.”</w:t>
      </w:r>
    </w:p>
    <w:p w14:paraId="3430C223" w14:textId="4D9496AD" w:rsidR="004925B4" w:rsidRDefault="004925B4" w:rsidP="004925B4">
      <w:pPr>
        <w:spacing w:after="0" w:line="240" w:lineRule="auto"/>
        <w:jc w:val="both"/>
        <w:rPr>
          <w:rFonts w:ascii="Georgia" w:hAnsi="Georgia"/>
          <w:sz w:val="26"/>
          <w:szCs w:val="26"/>
          <w:lang w:val="en-GB"/>
        </w:rPr>
      </w:pPr>
    </w:p>
    <w:p w14:paraId="58653C25" w14:textId="2BC526D1" w:rsidR="004925B4" w:rsidRDefault="004925B4" w:rsidP="00F82D87">
      <w:pPr>
        <w:spacing w:after="0" w:line="360" w:lineRule="auto"/>
        <w:jc w:val="both"/>
        <w:rPr>
          <w:rFonts w:ascii="Georgia" w:hAnsi="Georgia"/>
          <w:sz w:val="26"/>
          <w:szCs w:val="26"/>
          <w:lang w:val="en-GB"/>
        </w:rPr>
      </w:pPr>
      <w:r>
        <w:rPr>
          <w:rFonts w:ascii="Georgia" w:hAnsi="Georgia"/>
          <w:sz w:val="26"/>
          <w:szCs w:val="26"/>
          <w:lang w:val="en-GB"/>
        </w:rPr>
        <w:tab/>
      </w:r>
      <w:r>
        <w:rPr>
          <w:rFonts w:ascii="Georgia" w:hAnsi="Georgia"/>
          <w:sz w:val="26"/>
          <w:szCs w:val="26"/>
          <w:lang w:val="en-GB"/>
        </w:rPr>
        <w:tab/>
        <w:t>Section 3 providing the charge of tax reads as under:</w:t>
      </w:r>
    </w:p>
    <w:p w14:paraId="456EE157" w14:textId="278A2196" w:rsidR="004925B4" w:rsidRDefault="004925B4" w:rsidP="00F82D87">
      <w:pPr>
        <w:spacing w:after="0" w:line="360" w:lineRule="auto"/>
        <w:jc w:val="both"/>
        <w:rPr>
          <w:rFonts w:ascii="Georgia" w:hAnsi="Georgia"/>
          <w:sz w:val="26"/>
          <w:szCs w:val="26"/>
          <w:lang w:val="en-GB"/>
        </w:rPr>
      </w:pPr>
      <w:r>
        <w:rPr>
          <w:rFonts w:ascii="Georgia" w:hAnsi="Georgia"/>
          <w:sz w:val="26"/>
          <w:szCs w:val="26"/>
          <w:lang w:val="en-GB"/>
        </w:rPr>
        <w:tab/>
      </w:r>
      <w:r>
        <w:rPr>
          <w:rFonts w:ascii="Georgia" w:hAnsi="Georgia"/>
          <w:sz w:val="26"/>
          <w:szCs w:val="26"/>
          <w:lang w:val="en-GB"/>
        </w:rPr>
        <w:tab/>
        <w:t>“(1) There shall be charged on every Assessee for every Assessment Year commencing on or after the 1</w:t>
      </w:r>
      <w:r w:rsidRPr="004925B4">
        <w:rPr>
          <w:rFonts w:ascii="Georgia" w:hAnsi="Georgia"/>
          <w:sz w:val="26"/>
          <w:szCs w:val="26"/>
          <w:vertAlign w:val="superscript"/>
          <w:lang w:val="en-GB"/>
        </w:rPr>
        <w:t>st</w:t>
      </w:r>
      <w:r>
        <w:rPr>
          <w:rFonts w:ascii="Georgia" w:hAnsi="Georgia"/>
          <w:sz w:val="26"/>
          <w:szCs w:val="26"/>
          <w:lang w:val="en-GB"/>
        </w:rPr>
        <w:t xml:space="preserve"> Day of April, 2016, subject to the provisions of this Act, a tax in respect of this total undisclosed foreign income and asset of the previous year at the rate of thirty per cent of such undisclosed income and asset.</w:t>
      </w:r>
    </w:p>
    <w:p w14:paraId="45346FAF" w14:textId="7F88EB53" w:rsidR="004925B4" w:rsidRDefault="004925B4" w:rsidP="00F82D87">
      <w:pPr>
        <w:spacing w:after="0" w:line="360" w:lineRule="auto"/>
        <w:jc w:val="both"/>
        <w:rPr>
          <w:rFonts w:ascii="Georgia" w:hAnsi="Georgia"/>
          <w:sz w:val="26"/>
          <w:szCs w:val="26"/>
          <w:lang w:val="en-GB"/>
        </w:rPr>
      </w:pPr>
      <w:r>
        <w:rPr>
          <w:rFonts w:ascii="Georgia" w:hAnsi="Georgia"/>
          <w:sz w:val="26"/>
          <w:szCs w:val="26"/>
          <w:lang w:val="en-GB"/>
        </w:rPr>
        <w:tab/>
      </w:r>
      <w:r>
        <w:rPr>
          <w:rFonts w:ascii="Georgia" w:hAnsi="Georgia"/>
          <w:sz w:val="26"/>
          <w:szCs w:val="26"/>
          <w:lang w:val="en-GB"/>
        </w:rPr>
        <w:tab/>
        <w:t>Provided that an undisclosed asset located outside India shall be charged to tax on its value in the previous year in which such asset comes to the notice of the Assessing Officer.</w:t>
      </w:r>
    </w:p>
    <w:p w14:paraId="42B8D37A" w14:textId="4795C0C4" w:rsidR="004925B4" w:rsidRDefault="004925B4" w:rsidP="004925B4">
      <w:pPr>
        <w:spacing w:after="0" w:line="240" w:lineRule="auto"/>
        <w:jc w:val="both"/>
        <w:rPr>
          <w:rFonts w:ascii="Georgia" w:hAnsi="Georgia"/>
          <w:sz w:val="26"/>
          <w:szCs w:val="26"/>
          <w:lang w:val="en-GB"/>
        </w:rPr>
      </w:pPr>
    </w:p>
    <w:p w14:paraId="57110A0D" w14:textId="462DF784" w:rsidR="004925B4" w:rsidRDefault="004925B4" w:rsidP="00F82D87">
      <w:pPr>
        <w:spacing w:after="0" w:line="360" w:lineRule="auto"/>
        <w:jc w:val="both"/>
        <w:rPr>
          <w:rFonts w:ascii="Georgia" w:hAnsi="Georgia"/>
          <w:sz w:val="26"/>
          <w:szCs w:val="26"/>
          <w:lang w:val="en-GB"/>
        </w:rPr>
      </w:pPr>
      <w:r>
        <w:rPr>
          <w:rFonts w:ascii="Georgia" w:hAnsi="Georgia"/>
          <w:sz w:val="26"/>
          <w:szCs w:val="26"/>
          <w:lang w:val="en-GB"/>
        </w:rPr>
        <w:tab/>
      </w:r>
      <w:r>
        <w:rPr>
          <w:rFonts w:ascii="Georgia" w:hAnsi="Georgia"/>
          <w:sz w:val="26"/>
          <w:szCs w:val="26"/>
          <w:lang w:val="en-GB"/>
        </w:rPr>
        <w:tab/>
        <w:t>(2) For the purpose of this Section “value of an undisclosed asset” means the fair market value of an asset (including financial interest in any entity) determined n such manner as may be prescribed.”</w:t>
      </w:r>
    </w:p>
    <w:p w14:paraId="2224D68E" w14:textId="7A47C067" w:rsidR="004925B4" w:rsidRDefault="004925B4" w:rsidP="004925B4">
      <w:pPr>
        <w:spacing w:after="0" w:line="240" w:lineRule="auto"/>
        <w:jc w:val="both"/>
        <w:rPr>
          <w:rFonts w:ascii="Georgia" w:hAnsi="Georgia"/>
          <w:sz w:val="26"/>
          <w:szCs w:val="26"/>
          <w:lang w:val="en-GB"/>
        </w:rPr>
      </w:pPr>
    </w:p>
    <w:p w14:paraId="2DAD1FD0" w14:textId="7207C102" w:rsidR="004925B4" w:rsidRDefault="004925B4" w:rsidP="00F82D87">
      <w:pPr>
        <w:spacing w:after="0" w:line="360" w:lineRule="auto"/>
        <w:jc w:val="both"/>
        <w:rPr>
          <w:rFonts w:ascii="Georgia" w:hAnsi="Georgia"/>
          <w:sz w:val="26"/>
          <w:szCs w:val="26"/>
          <w:lang w:val="en-GB"/>
        </w:rPr>
      </w:pPr>
      <w:r>
        <w:rPr>
          <w:rFonts w:ascii="Georgia" w:hAnsi="Georgia"/>
          <w:sz w:val="26"/>
          <w:szCs w:val="26"/>
          <w:lang w:val="en-GB"/>
        </w:rPr>
        <w:tab/>
      </w:r>
      <w:r>
        <w:rPr>
          <w:rFonts w:ascii="Georgia" w:hAnsi="Georgia"/>
          <w:sz w:val="26"/>
          <w:szCs w:val="26"/>
          <w:lang w:val="en-GB"/>
        </w:rPr>
        <w:tab/>
        <w:t xml:space="preserve">It is thus axiomatic that undisclosed foreign income and the value of allege foreign assets can not be included for the purpose of </w:t>
      </w:r>
      <w:r>
        <w:rPr>
          <w:rFonts w:ascii="Georgia" w:hAnsi="Georgia"/>
          <w:sz w:val="26"/>
          <w:szCs w:val="26"/>
          <w:lang w:val="en-GB"/>
        </w:rPr>
        <w:lastRenderedPageBreak/>
        <w:t>assessment under the Income Tax Act, 1961. Therefore, you must bring the above legal position to the Notice of CIT(A) urgently.</w:t>
      </w:r>
    </w:p>
    <w:p w14:paraId="2E844E0F" w14:textId="24B35152" w:rsidR="004925B4" w:rsidRDefault="004925B4" w:rsidP="004925B4">
      <w:pPr>
        <w:spacing w:after="0" w:line="240" w:lineRule="auto"/>
        <w:jc w:val="both"/>
        <w:rPr>
          <w:rFonts w:ascii="Georgia" w:hAnsi="Georgia"/>
          <w:sz w:val="26"/>
          <w:szCs w:val="26"/>
          <w:lang w:val="en-GB"/>
        </w:rPr>
      </w:pPr>
    </w:p>
    <w:p w14:paraId="0E436F4A" w14:textId="5BC43CC0" w:rsidR="004925B4" w:rsidRDefault="004925B4" w:rsidP="004925B4">
      <w:pPr>
        <w:spacing w:after="0" w:line="360" w:lineRule="auto"/>
        <w:ind w:left="4320"/>
        <w:jc w:val="center"/>
        <w:rPr>
          <w:rFonts w:ascii="Georgia" w:hAnsi="Georgia"/>
          <w:sz w:val="26"/>
          <w:szCs w:val="26"/>
          <w:lang w:val="en-GB"/>
        </w:rPr>
      </w:pPr>
      <w:r>
        <w:rPr>
          <w:rFonts w:ascii="Georgia" w:hAnsi="Georgia"/>
          <w:sz w:val="26"/>
          <w:szCs w:val="26"/>
          <w:lang w:val="en-GB"/>
        </w:rPr>
        <w:t>Yours faithfully,</w:t>
      </w:r>
    </w:p>
    <w:p w14:paraId="125B7C3A" w14:textId="5AB974D1" w:rsidR="004925B4" w:rsidRDefault="004925B4" w:rsidP="004925B4">
      <w:pPr>
        <w:spacing w:after="0" w:line="360" w:lineRule="auto"/>
        <w:ind w:left="4320"/>
        <w:jc w:val="center"/>
        <w:rPr>
          <w:rFonts w:ascii="Georgia" w:hAnsi="Georgia"/>
          <w:sz w:val="26"/>
          <w:szCs w:val="26"/>
          <w:lang w:val="en-GB"/>
        </w:rPr>
      </w:pPr>
    </w:p>
    <w:p w14:paraId="17C3552A" w14:textId="1AD0E969" w:rsidR="004925B4" w:rsidRDefault="004925B4" w:rsidP="004925B4">
      <w:pPr>
        <w:spacing w:after="0" w:line="240" w:lineRule="auto"/>
        <w:ind w:left="4320"/>
        <w:jc w:val="center"/>
        <w:rPr>
          <w:rFonts w:ascii="Georgia" w:hAnsi="Georgia"/>
          <w:sz w:val="26"/>
          <w:szCs w:val="26"/>
          <w:lang w:val="en-GB"/>
        </w:rPr>
      </w:pPr>
      <w:r>
        <w:rPr>
          <w:rFonts w:ascii="Georgia" w:hAnsi="Georgia"/>
          <w:sz w:val="26"/>
          <w:szCs w:val="26"/>
          <w:lang w:val="en-GB"/>
        </w:rPr>
        <w:t>(Girish Dave)</w:t>
      </w:r>
    </w:p>
    <w:p w14:paraId="5B97342A" w14:textId="33850906" w:rsidR="004925B4" w:rsidRDefault="004925B4" w:rsidP="004925B4">
      <w:pPr>
        <w:spacing w:after="0" w:line="240" w:lineRule="auto"/>
        <w:ind w:left="4320"/>
        <w:jc w:val="center"/>
        <w:rPr>
          <w:rFonts w:ascii="Georgia" w:hAnsi="Georgia"/>
          <w:sz w:val="26"/>
          <w:szCs w:val="26"/>
          <w:lang w:val="en-GB"/>
        </w:rPr>
      </w:pPr>
      <w:r>
        <w:rPr>
          <w:rFonts w:ascii="Georgia" w:hAnsi="Georgia"/>
          <w:sz w:val="26"/>
          <w:szCs w:val="26"/>
          <w:lang w:val="en-GB"/>
        </w:rPr>
        <w:t>Advocate High Court</w:t>
      </w:r>
    </w:p>
    <w:p w14:paraId="062C863C" w14:textId="75265A1A" w:rsidR="00F82D87" w:rsidRDefault="00F82D87" w:rsidP="00F82D87">
      <w:pPr>
        <w:spacing w:after="0" w:line="360" w:lineRule="auto"/>
        <w:jc w:val="both"/>
        <w:rPr>
          <w:rFonts w:ascii="Georgia" w:hAnsi="Georgia"/>
          <w:sz w:val="26"/>
          <w:szCs w:val="26"/>
          <w:lang w:val="en-GB"/>
        </w:rPr>
      </w:pPr>
    </w:p>
    <w:p w14:paraId="5B5B7B06" w14:textId="057F09DA" w:rsidR="00F82D87" w:rsidRPr="00F82D87" w:rsidRDefault="00F82D87" w:rsidP="00F82D87">
      <w:pPr>
        <w:spacing w:after="0" w:line="360" w:lineRule="auto"/>
        <w:jc w:val="both"/>
        <w:rPr>
          <w:rFonts w:ascii="Georgia" w:hAnsi="Georgia"/>
          <w:sz w:val="26"/>
          <w:szCs w:val="26"/>
          <w:lang w:val="en-GB"/>
        </w:rPr>
      </w:pPr>
      <w:r>
        <w:rPr>
          <w:rFonts w:ascii="Georgia" w:hAnsi="Georgia"/>
          <w:sz w:val="26"/>
          <w:szCs w:val="26"/>
          <w:lang w:val="en-GB"/>
        </w:rPr>
        <w:tab/>
      </w:r>
      <w:r>
        <w:rPr>
          <w:rFonts w:ascii="Georgia" w:hAnsi="Georgia"/>
          <w:sz w:val="26"/>
          <w:szCs w:val="26"/>
          <w:lang w:val="en-GB"/>
        </w:rPr>
        <w:tab/>
      </w:r>
    </w:p>
    <w:sectPr w:rsidR="00F82D87" w:rsidRPr="00F82D87" w:rsidSect="00F82D87">
      <w:pgSz w:w="11906" w:h="16838"/>
      <w:pgMar w:top="1701" w:right="1701" w:bottom="170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82"/>
    <w:rsid w:val="002B5693"/>
    <w:rsid w:val="004925B4"/>
    <w:rsid w:val="00694B6C"/>
    <w:rsid w:val="006F77A6"/>
    <w:rsid w:val="008F6482"/>
    <w:rsid w:val="00BA32BF"/>
    <w:rsid w:val="00E14CBD"/>
    <w:rsid w:val="00F82D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40C3"/>
  <w15:chartTrackingRefBased/>
  <w15:docId w15:val="{A92AF583-0133-4799-8349-5BA6F1BF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2023-02-03T09:50:00Z</cp:lastPrinted>
  <dcterms:created xsi:type="dcterms:W3CDTF">2023-02-03T08:45:00Z</dcterms:created>
  <dcterms:modified xsi:type="dcterms:W3CDTF">2023-02-03T09:50:00Z</dcterms:modified>
</cp:coreProperties>
</file>