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A28D" w14:textId="22D0926A" w:rsidR="008D4744" w:rsidRPr="001D6150" w:rsidRDefault="001D6150" w:rsidP="001D6150">
      <w:pPr>
        <w:spacing w:after="0" w:line="360" w:lineRule="auto"/>
        <w:jc w:val="center"/>
        <w:rPr>
          <w:rFonts w:ascii="Georgia" w:hAnsi="Georgia"/>
          <w:b/>
          <w:bCs/>
          <w:sz w:val="28"/>
          <w:szCs w:val="28"/>
        </w:rPr>
      </w:pPr>
      <w:r w:rsidRPr="001D6150">
        <w:rPr>
          <w:rFonts w:ascii="Georgia" w:hAnsi="Georgia"/>
          <w:b/>
          <w:bCs/>
          <w:sz w:val="28"/>
          <w:szCs w:val="28"/>
        </w:rPr>
        <w:t>Mrs. Indubala Porwal</w:t>
      </w:r>
    </w:p>
    <w:p w14:paraId="495D7A8E" w14:textId="03754854" w:rsidR="001D6150" w:rsidRDefault="001D6150" w:rsidP="001D6150">
      <w:pPr>
        <w:spacing w:after="0" w:line="360" w:lineRule="auto"/>
        <w:jc w:val="center"/>
        <w:rPr>
          <w:rFonts w:ascii="Georgia" w:hAnsi="Georgia"/>
          <w:b/>
          <w:bCs/>
          <w:sz w:val="28"/>
          <w:szCs w:val="28"/>
        </w:rPr>
      </w:pPr>
      <w:r w:rsidRPr="001D6150">
        <w:rPr>
          <w:rFonts w:ascii="Georgia" w:hAnsi="Georgia"/>
          <w:b/>
          <w:bCs/>
          <w:sz w:val="28"/>
          <w:szCs w:val="28"/>
        </w:rPr>
        <w:t>Draft of Grounds of Appeal – Proposed</w:t>
      </w:r>
    </w:p>
    <w:p w14:paraId="657D9831" w14:textId="77777777" w:rsidR="00AA7C2A" w:rsidRPr="001D6150" w:rsidRDefault="00AA7C2A" w:rsidP="001D6150">
      <w:pPr>
        <w:spacing w:after="0" w:line="360" w:lineRule="auto"/>
        <w:jc w:val="center"/>
        <w:rPr>
          <w:rFonts w:ascii="Georgia" w:hAnsi="Georgia"/>
          <w:b/>
          <w:bCs/>
          <w:sz w:val="28"/>
          <w:szCs w:val="28"/>
        </w:rPr>
      </w:pPr>
    </w:p>
    <w:p w14:paraId="5053F2F4" w14:textId="08FBDF03" w:rsidR="001D6150" w:rsidRPr="00C362E7" w:rsidRDefault="001D6150" w:rsidP="001D6150">
      <w:pPr>
        <w:spacing w:after="0" w:line="360" w:lineRule="auto"/>
        <w:jc w:val="center"/>
        <w:rPr>
          <w:rFonts w:ascii="Georgia" w:hAnsi="Georgia"/>
          <w:b/>
          <w:bCs/>
          <w:sz w:val="26"/>
          <w:szCs w:val="26"/>
        </w:rPr>
      </w:pPr>
      <w:r w:rsidRPr="00C362E7">
        <w:rPr>
          <w:rFonts w:ascii="Georgia" w:hAnsi="Georgia"/>
          <w:b/>
          <w:bCs/>
          <w:sz w:val="26"/>
          <w:szCs w:val="26"/>
        </w:rPr>
        <w:t>Appeal arising from Order dated 19/03/2023 of CIT(A), Udaipur-2</w:t>
      </w:r>
    </w:p>
    <w:p w14:paraId="0F027366" w14:textId="5362FFA3" w:rsidR="001D6150" w:rsidRPr="00C362E7" w:rsidRDefault="001D6150" w:rsidP="001D6150">
      <w:pPr>
        <w:spacing w:after="0" w:line="360" w:lineRule="auto"/>
        <w:jc w:val="center"/>
        <w:rPr>
          <w:rFonts w:ascii="Georgia" w:hAnsi="Georgia"/>
          <w:b/>
          <w:bCs/>
          <w:sz w:val="26"/>
          <w:szCs w:val="26"/>
        </w:rPr>
      </w:pPr>
      <w:r w:rsidRPr="00C362E7">
        <w:rPr>
          <w:rFonts w:ascii="Georgia" w:hAnsi="Georgia"/>
          <w:b/>
          <w:bCs/>
          <w:sz w:val="26"/>
          <w:szCs w:val="26"/>
        </w:rPr>
        <w:t>in DIN &amp; Order No.ITBA/APL/S/250/2022-23/1050956582(1) –</w:t>
      </w:r>
    </w:p>
    <w:p w14:paraId="7250D58B" w14:textId="6D4C6B94" w:rsidR="001D6150" w:rsidRPr="00C362E7" w:rsidRDefault="001D6150" w:rsidP="001D6150">
      <w:pPr>
        <w:spacing w:after="0" w:line="360" w:lineRule="auto"/>
        <w:jc w:val="center"/>
        <w:rPr>
          <w:rFonts w:ascii="Georgia" w:hAnsi="Georgia"/>
          <w:b/>
          <w:bCs/>
          <w:sz w:val="26"/>
          <w:szCs w:val="26"/>
        </w:rPr>
      </w:pPr>
      <w:r w:rsidRPr="00C362E7">
        <w:rPr>
          <w:rFonts w:ascii="Georgia" w:hAnsi="Georgia"/>
          <w:b/>
          <w:bCs/>
          <w:sz w:val="26"/>
          <w:szCs w:val="26"/>
        </w:rPr>
        <w:t>Order under Section 250 of the Income Tax Act, 1961.</w:t>
      </w:r>
    </w:p>
    <w:p w14:paraId="3BE38EAD" w14:textId="77777777" w:rsidR="001D6150" w:rsidRDefault="001D6150" w:rsidP="001D6150">
      <w:pPr>
        <w:spacing w:after="0" w:line="360" w:lineRule="auto"/>
        <w:rPr>
          <w:rFonts w:ascii="Georgia" w:hAnsi="Georgia"/>
          <w:sz w:val="26"/>
          <w:szCs w:val="26"/>
        </w:rPr>
      </w:pPr>
    </w:p>
    <w:p w14:paraId="2F80D05D" w14:textId="607FC433" w:rsidR="001D6150" w:rsidRDefault="001D6150"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Learned Commissioner of Income Tax, Appeal, CIT(A), Udaipur – 2 (hereinafter referred to as the CIT(A)) erred in dismissing the ground raised before him against issue of Assessment Order without DIN.</w:t>
      </w:r>
    </w:p>
    <w:p w14:paraId="0E8C54D1" w14:textId="77777777" w:rsidR="001D6150" w:rsidRDefault="001D6150" w:rsidP="001D6150">
      <w:pPr>
        <w:pStyle w:val="ListParagraph"/>
        <w:spacing w:after="0" w:line="360" w:lineRule="auto"/>
        <w:jc w:val="both"/>
        <w:rPr>
          <w:rFonts w:ascii="Georgia" w:hAnsi="Georgia"/>
          <w:sz w:val="26"/>
          <w:szCs w:val="26"/>
        </w:rPr>
      </w:pPr>
    </w:p>
    <w:p w14:paraId="51C6C07D" w14:textId="6265DCC6" w:rsidR="001D6150" w:rsidRDefault="001D6150"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w:t>
      </w:r>
      <w:r w:rsidR="00FE08D9">
        <w:rPr>
          <w:rFonts w:ascii="Georgia" w:hAnsi="Georgia"/>
          <w:sz w:val="26"/>
          <w:szCs w:val="26"/>
        </w:rPr>
        <w:t>.</w:t>
      </w:r>
      <w:r>
        <w:rPr>
          <w:rFonts w:ascii="Georgia" w:hAnsi="Georgia"/>
          <w:sz w:val="26"/>
          <w:szCs w:val="26"/>
        </w:rPr>
        <w:t xml:space="preserve"> CIT(A)</w:t>
      </w:r>
      <w:r w:rsidR="00BC3484">
        <w:rPr>
          <w:rFonts w:ascii="Georgia" w:hAnsi="Georgia"/>
          <w:sz w:val="26"/>
          <w:szCs w:val="26"/>
        </w:rPr>
        <w:t xml:space="preserve"> erred in dismissing the ground on the basis that the Assessing Officer (A.O. in short) in Remand Report has provided a copy of the front page of DIN generated order ignoring the fact that on a look of the said DIN generated Order is completely different from the Assessment Order passed through </w:t>
      </w:r>
      <w:r w:rsidR="00FE08D9">
        <w:rPr>
          <w:rFonts w:ascii="Georgia" w:hAnsi="Georgia"/>
          <w:sz w:val="26"/>
          <w:szCs w:val="26"/>
        </w:rPr>
        <w:t>manual to system functionality in ITBA with serious and vital omissions in said DIN generated Order.</w:t>
      </w:r>
    </w:p>
    <w:p w14:paraId="1F057024" w14:textId="77777777" w:rsidR="00FE08D9" w:rsidRPr="00FE08D9" w:rsidRDefault="00FE08D9" w:rsidP="00FE08D9">
      <w:pPr>
        <w:pStyle w:val="ListParagraph"/>
        <w:rPr>
          <w:rFonts w:ascii="Georgia" w:hAnsi="Georgia"/>
          <w:sz w:val="26"/>
          <w:szCs w:val="26"/>
        </w:rPr>
      </w:pPr>
    </w:p>
    <w:p w14:paraId="11199F6A" w14:textId="2C5E11BD" w:rsidR="00FE08D9" w:rsidRDefault="00FE08D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Ld</w:t>
      </w:r>
      <w:r>
        <w:rPr>
          <w:rFonts w:ascii="Georgia" w:hAnsi="Georgia"/>
          <w:sz w:val="26"/>
          <w:szCs w:val="26"/>
        </w:rPr>
        <w:t>. CIT(A) has erred in holding that the prior approval given vide letter No.700 dated 30/09/2021 under Section 153D of the Oncome Tax Act, 1961 (the Act, in short) given by Ld. Additional Commissioner of Income Tax, Central Range, Udaipur to the Assessment Order dated 30/09/2021 does not suffer from non-application of mind, more so in a situation when there are two different Assessment Order in different content.</w:t>
      </w:r>
    </w:p>
    <w:p w14:paraId="01451F78" w14:textId="77777777" w:rsidR="000B651D" w:rsidRPr="000B651D" w:rsidRDefault="000B651D" w:rsidP="000B651D">
      <w:pPr>
        <w:pStyle w:val="ListParagraph"/>
        <w:rPr>
          <w:rFonts w:ascii="Georgia" w:hAnsi="Georgia"/>
          <w:sz w:val="26"/>
          <w:szCs w:val="26"/>
        </w:rPr>
      </w:pPr>
    </w:p>
    <w:p w14:paraId="61B89551" w14:textId="6758BCC2" w:rsidR="000B651D" w:rsidRDefault="000B651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lastRenderedPageBreak/>
        <w:t>On the facts and in the circumstances of the case and in law, L</w:t>
      </w:r>
      <w:r>
        <w:rPr>
          <w:rFonts w:ascii="Georgia" w:hAnsi="Georgia"/>
          <w:sz w:val="26"/>
          <w:szCs w:val="26"/>
        </w:rPr>
        <w:t xml:space="preserve">d. CIT(A) erred in holding that Assessment Order was correctly passed by Ld. AO under Section 153A of the Act based on incriminating material and in rejecting the contention that Assessment Order ought to have been passed under Section 153C of the Act or </w:t>
      </w:r>
      <w:r w:rsidR="00621772">
        <w:rPr>
          <w:rFonts w:ascii="Georgia" w:hAnsi="Georgia"/>
          <w:sz w:val="26"/>
          <w:szCs w:val="26"/>
        </w:rPr>
        <w:t>under Section 147 of the Act.</w:t>
      </w:r>
    </w:p>
    <w:p w14:paraId="5D97CF16" w14:textId="77777777" w:rsidR="00621772" w:rsidRPr="00621772" w:rsidRDefault="00621772" w:rsidP="00621772">
      <w:pPr>
        <w:pStyle w:val="ListParagraph"/>
        <w:rPr>
          <w:rFonts w:ascii="Georgia" w:hAnsi="Georgia"/>
          <w:sz w:val="26"/>
          <w:szCs w:val="26"/>
        </w:rPr>
      </w:pPr>
    </w:p>
    <w:p w14:paraId="20545043" w14:textId="7E312E5D" w:rsidR="00621772" w:rsidRDefault="00621772"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A) </w:t>
      </w:r>
      <w:r>
        <w:rPr>
          <w:rFonts w:ascii="Georgia" w:hAnsi="Georgia"/>
          <w:sz w:val="26"/>
          <w:szCs w:val="26"/>
        </w:rPr>
        <w:t>On the facts and in the circumstances of the case and in law, L</w:t>
      </w:r>
      <w:r>
        <w:rPr>
          <w:rFonts w:ascii="Georgia" w:hAnsi="Georgia"/>
          <w:sz w:val="26"/>
          <w:szCs w:val="26"/>
        </w:rPr>
        <w:t xml:space="preserve">d. CIT(A) erred in holding that the Appellant maintained a bank account with Hinduja Bank, Switzerland (HBS) in short opened on 19/07/2013. </w:t>
      </w:r>
    </w:p>
    <w:p w14:paraId="20E5A7BD" w14:textId="77777777" w:rsidR="00621772" w:rsidRPr="00621772" w:rsidRDefault="00621772" w:rsidP="00621772">
      <w:pPr>
        <w:pStyle w:val="ListParagraph"/>
        <w:rPr>
          <w:rFonts w:ascii="Georgia" w:hAnsi="Georgia"/>
          <w:sz w:val="26"/>
          <w:szCs w:val="26"/>
        </w:rPr>
      </w:pPr>
    </w:p>
    <w:p w14:paraId="22B550B3" w14:textId="00104AFE" w:rsidR="00621772" w:rsidRDefault="00621772" w:rsidP="00621772">
      <w:pPr>
        <w:pStyle w:val="ListParagraph"/>
        <w:spacing w:after="0" w:line="360" w:lineRule="auto"/>
        <w:jc w:val="both"/>
        <w:rPr>
          <w:rFonts w:ascii="Georgia" w:hAnsi="Georgia"/>
          <w:sz w:val="26"/>
          <w:szCs w:val="26"/>
        </w:rPr>
      </w:pPr>
      <w:r>
        <w:rPr>
          <w:rFonts w:ascii="Georgia" w:hAnsi="Georgia"/>
          <w:sz w:val="26"/>
          <w:szCs w:val="26"/>
        </w:rPr>
        <w:t xml:space="preserve">B) </w:t>
      </w:r>
      <w:r>
        <w:rPr>
          <w:rFonts w:ascii="Georgia" w:hAnsi="Georgia"/>
          <w:sz w:val="26"/>
          <w:szCs w:val="26"/>
        </w:rPr>
        <w:t>On the facts and in the circumstances of the case and in law, L</w:t>
      </w:r>
      <w:r>
        <w:rPr>
          <w:rFonts w:ascii="Georgia" w:hAnsi="Georgia"/>
          <w:sz w:val="26"/>
          <w:szCs w:val="26"/>
        </w:rPr>
        <w:t>d.</w:t>
      </w:r>
      <w:r w:rsidR="001329EF">
        <w:rPr>
          <w:rFonts w:ascii="Georgia" w:hAnsi="Georgia"/>
          <w:sz w:val="26"/>
          <w:szCs w:val="26"/>
        </w:rPr>
        <w:t xml:space="preserve"> CIT(A) erred in holding that the Appellant accepted that Bank Account with HBS was maintained in code name ‘Terapanth.</w:t>
      </w:r>
    </w:p>
    <w:p w14:paraId="486EB247" w14:textId="77777777" w:rsidR="00621772" w:rsidRPr="00621772" w:rsidRDefault="00621772" w:rsidP="00621772">
      <w:pPr>
        <w:pStyle w:val="ListParagraph"/>
        <w:rPr>
          <w:rFonts w:ascii="Georgia" w:hAnsi="Georgia"/>
          <w:sz w:val="26"/>
          <w:szCs w:val="26"/>
        </w:rPr>
      </w:pPr>
    </w:p>
    <w:p w14:paraId="7F06F194" w14:textId="5FD61FC8" w:rsidR="00621772" w:rsidRDefault="001329EF" w:rsidP="00DF5919">
      <w:pPr>
        <w:pStyle w:val="ListParagraph"/>
        <w:tabs>
          <w:tab w:val="left" w:pos="1665"/>
        </w:tabs>
        <w:spacing w:after="0" w:line="360" w:lineRule="auto"/>
        <w:jc w:val="both"/>
        <w:rPr>
          <w:rFonts w:ascii="Georgia" w:hAnsi="Georgia"/>
          <w:sz w:val="26"/>
          <w:szCs w:val="26"/>
        </w:rPr>
      </w:pPr>
      <w:r>
        <w:rPr>
          <w:rFonts w:ascii="Georgia" w:hAnsi="Georgia"/>
          <w:sz w:val="26"/>
          <w:szCs w:val="26"/>
        </w:rPr>
        <w:t>C</w:t>
      </w:r>
      <w:r w:rsidR="00DF5919">
        <w:rPr>
          <w:rFonts w:ascii="Georgia" w:hAnsi="Georgia"/>
          <w:sz w:val="26"/>
          <w:szCs w:val="26"/>
        </w:rPr>
        <w:t xml:space="preserve">) </w:t>
      </w:r>
      <w:r w:rsidR="00DF5919">
        <w:rPr>
          <w:rFonts w:ascii="Georgia" w:hAnsi="Georgia"/>
          <w:sz w:val="26"/>
          <w:szCs w:val="26"/>
        </w:rPr>
        <w:t>On the facts and in the circumstances of the case and in law, L</w:t>
      </w:r>
      <w:r w:rsidR="00DF5919">
        <w:rPr>
          <w:rFonts w:ascii="Georgia" w:hAnsi="Georgia"/>
          <w:sz w:val="26"/>
          <w:szCs w:val="26"/>
        </w:rPr>
        <w:t>d. CIT(A) erred in holding that no reliable documentary evidence that the finds belong to Family Trust which finding is contrary to facts on records.</w:t>
      </w:r>
    </w:p>
    <w:p w14:paraId="0673397F" w14:textId="77777777" w:rsidR="00621772" w:rsidRPr="00621772" w:rsidRDefault="00621772" w:rsidP="00621772">
      <w:pPr>
        <w:pStyle w:val="ListParagraph"/>
        <w:rPr>
          <w:rFonts w:ascii="Georgia" w:hAnsi="Georgia"/>
          <w:sz w:val="26"/>
          <w:szCs w:val="26"/>
        </w:rPr>
      </w:pPr>
    </w:p>
    <w:p w14:paraId="6BB7D4FF" w14:textId="406A2CFB" w:rsidR="00621772" w:rsidRDefault="00DF591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 xml:space="preserve">On the facts and in the circumstances of the case and in law, </w:t>
      </w:r>
      <w:r>
        <w:rPr>
          <w:rFonts w:ascii="Georgia" w:hAnsi="Georgia"/>
          <w:sz w:val="26"/>
          <w:szCs w:val="26"/>
        </w:rPr>
        <w:t>Assessment Order passed under Section 153A of the Act was without jurisdiction, void bad-in-law and requires to be quashed.</w:t>
      </w:r>
    </w:p>
    <w:p w14:paraId="02DE3BB3" w14:textId="77777777" w:rsidR="00DF5919" w:rsidRDefault="00DF5919" w:rsidP="00DF5919">
      <w:pPr>
        <w:pStyle w:val="ListParagraph"/>
        <w:spacing w:after="0" w:line="360" w:lineRule="auto"/>
        <w:jc w:val="both"/>
        <w:rPr>
          <w:rFonts w:ascii="Georgia" w:hAnsi="Georgia"/>
          <w:sz w:val="26"/>
          <w:szCs w:val="26"/>
        </w:rPr>
      </w:pPr>
    </w:p>
    <w:p w14:paraId="422DB2A3" w14:textId="33F31DA2" w:rsidR="00DF5919" w:rsidRDefault="00DF591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 xml:space="preserve">d. CIT(A)  erred in holding that the “document” allegedly recovered from the laptop of Shri Nikhil Jain in the course of search under Section 132 of the Act at his premises belonged to her and further erred in attributing without any enquiry of the instructions contained in </w:t>
      </w:r>
      <w:r w:rsidR="0002762D">
        <w:rPr>
          <w:rFonts w:ascii="Georgia" w:hAnsi="Georgia"/>
          <w:sz w:val="26"/>
          <w:szCs w:val="26"/>
        </w:rPr>
        <w:t xml:space="preserve">said document to her and thereby concluding that the account with HBS belongs to her in </w:t>
      </w:r>
      <w:r w:rsidR="0002762D">
        <w:rPr>
          <w:rFonts w:ascii="Georgia" w:hAnsi="Georgia"/>
          <w:sz w:val="26"/>
          <w:szCs w:val="26"/>
        </w:rPr>
        <w:lastRenderedPageBreak/>
        <w:t>contravention to the provisions to Section 65A &amp; 65B of the Indian Evidence Act, 1872.</w:t>
      </w:r>
    </w:p>
    <w:p w14:paraId="51480AC9" w14:textId="77777777" w:rsidR="0002762D" w:rsidRPr="0002762D" w:rsidRDefault="0002762D" w:rsidP="0002762D">
      <w:pPr>
        <w:pStyle w:val="ListParagraph"/>
        <w:rPr>
          <w:rFonts w:ascii="Georgia" w:hAnsi="Georgia"/>
          <w:sz w:val="26"/>
          <w:szCs w:val="26"/>
        </w:rPr>
      </w:pPr>
    </w:p>
    <w:p w14:paraId="63FF395A" w14:textId="5D9A6001" w:rsidR="0002762D" w:rsidRDefault="0002762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holding that no documentary evidence in support of management of funds being controlled by someone outside India was provided which finding is contrary to facts on records.</w:t>
      </w:r>
    </w:p>
    <w:p w14:paraId="597E9B5B" w14:textId="77777777" w:rsidR="0002762D" w:rsidRPr="0002762D" w:rsidRDefault="0002762D" w:rsidP="0002762D">
      <w:pPr>
        <w:pStyle w:val="ListParagraph"/>
        <w:rPr>
          <w:rFonts w:ascii="Georgia" w:hAnsi="Georgia"/>
          <w:sz w:val="26"/>
          <w:szCs w:val="26"/>
        </w:rPr>
      </w:pPr>
    </w:p>
    <w:p w14:paraId="7807ACD7" w14:textId="771BDBB1" w:rsidR="0002762D" w:rsidRDefault="0002762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holding that the account with HBS was opened by the Appellant herself.</w:t>
      </w:r>
    </w:p>
    <w:p w14:paraId="1A270517" w14:textId="77777777" w:rsidR="0002762D" w:rsidRPr="0002762D" w:rsidRDefault="0002762D" w:rsidP="0002762D">
      <w:pPr>
        <w:pStyle w:val="ListParagraph"/>
        <w:rPr>
          <w:rFonts w:ascii="Georgia" w:hAnsi="Georgia"/>
          <w:sz w:val="26"/>
          <w:szCs w:val="26"/>
        </w:rPr>
      </w:pPr>
    </w:p>
    <w:p w14:paraId="4F2D5BC9" w14:textId="2AA80BC3" w:rsidR="0002762D" w:rsidRDefault="0002762D"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 xml:space="preserve">d. CIT(A) erred in holding </w:t>
      </w:r>
      <w:r w:rsidR="00B01858">
        <w:rPr>
          <w:rFonts w:ascii="Georgia" w:hAnsi="Georgia"/>
          <w:sz w:val="26"/>
          <w:szCs w:val="26"/>
        </w:rPr>
        <w:t>that loan of USD 5,00,000/- to Shanvi International FZC UAE was given by the Appellant from HBS account and was given on her instructions as the bank account</w:t>
      </w:r>
      <w:r w:rsidR="003B1790">
        <w:rPr>
          <w:rFonts w:ascii="Georgia" w:hAnsi="Georgia"/>
          <w:sz w:val="26"/>
          <w:szCs w:val="26"/>
        </w:rPr>
        <w:t xml:space="preserve"> is controlled by the Appellant and name of the BWR Trust </w:t>
      </w:r>
      <w:r w:rsidR="00790CC9">
        <w:rPr>
          <w:rFonts w:ascii="Georgia" w:hAnsi="Georgia"/>
          <w:sz w:val="26"/>
          <w:szCs w:val="26"/>
        </w:rPr>
        <w:t>is used to avoid tax liability.</w:t>
      </w:r>
    </w:p>
    <w:p w14:paraId="00EBC39E" w14:textId="77777777" w:rsidR="003B1790" w:rsidRPr="003B1790" w:rsidRDefault="003B1790" w:rsidP="003B1790">
      <w:pPr>
        <w:pStyle w:val="ListParagraph"/>
        <w:rPr>
          <w:rFonts w:ascii="Georgia" w:hAnsi="Georgia"/>
          <w:sz w:val="26"/>
          <w:szCs w:val="26"/>
        </w:rPr>
      </w:pPr>
    </w:p>
    <w:p w14:paraId="7516A603" w14:textId="66687219" w:rsidR="003B1790" w:rsidRDefault="00790CC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holding that the Bank itself is not a Trustee but service provider and Appellant herself is only beneficiary for credit entries and income earned which is contrary to facts on record.</w:t>
      </w:r>
    </w:p>
    <w:p w14:paraId="79CF3BA6" w14:textId="77777777" w:rsidR="00790CC9" w:rsidRPr="00790CC9" w:rsidRDefault="00790CC9" w:rsidP="00790CC9">
      <w:pPr>
        <w:pStyle w:val="ListParagraph"/>
        <w:rPr>
          <w:rFonts w:ascii="Georgia" w:hAnsi="Georgia"/>
          <w:sz w:val="26"/>
          <w:szCs w:val="26"/>
        </w:rPr>
      </w:pPr>
    </w:p>
    <w:p w14:paraId="7CB2FE35" w14:textId="6101B035" w:rsidR="00790CC9" w:rsidRDefault="00790CC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CIT(A)’s Order is without application of mind, perverse and untenable in law.</w:t>
      </w:r>
    </w:p>
    <w:p w14:paraId="0A9AA154" w14:textId="77777777" w:rsidR="00790CC9" w:rsidRPr="00790CC9" w:rsidRDefault="00790CC9" w:rsidP="00790CC9">
      <w:pPr>
        <w:pStyle w:val="ListParagraph"/>
        <w:rPr>
          <w:rFonts w:ascii="Georgia" w:hAnsi="Georgia"/>
          <w:sz w:val="26"/>
          <w:szCs w:val="26"/>
        </w:rPr>
      </w:pPr>
    </w:p>
    <w:p w14:paraId="44DA6D29" w14:textId="235D2A5E" w:rsidR="00790CC9" w:rsidRDefault="00790CC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law in holding that the claim that initial fund was given to the BWR Trust by Dr. K. K. Jain, her brother in law has no evidence which is again contrary to facts on record.</w:t>
      </w:r>
    </w:p>
    <w:p w14:paraId="295D6736" w14:textId="77777777" w:rsidR="005364E3" w:rsidRPr="005364E3" w:rsidRDefault="005364E3" w:rsidP="005364E3">
      <w:pPr>
        <w:pStyle w:val="ListParagraph"/>
        <w:rPr>
          <w:rFonts w:ascii="Georgia" w:hAnsi="Georgia"/>
          <w:sz w:val="26"/>
          <w:szCs w:val="26"/>
        </w:rPr>
      </w:pPr>
    </w:p>
    <w:p w14:paraId="0871D48E" w14:textId="77777777" w:rsidR="005364E3" w:rsidRDefault="005364E3"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holding that the claim that account belongs to BWR Trust is not proved with documentary evidence which is contrary to facts on record.</w:t>
      </w:r>
    </w:p>
    <w:p w14:paraId="11F3EEE1" w14:textId="77777777" w:rsidR="005364E3" w:rsidRPr="005364E3" w:rsidRDefault="005364E3" w:rsidP="005364E3">
      <w:pPr>
        <w:pStyle w:val="ListParagraph"/>
        <w:rPr>
          <w:rFonts w:ascii="Georgia" w:hAnsi="Georgia"/>
          <w:sz w:val="26"/>
          <w:szCs w:val="26"/>
        </w:rPr>
      </w:pPr>
    </w:p>
    <w:p w14:paraId="7A84BD8D" w14:textId="77777777" w:rsidR="005364E3" w:rsidRDefault="005364E3"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holding that the Appellant in her Return of Income filed under Section 153A of the Act, herself claimed as owner of the HBS Account.</w:t>
      </w:r>
    </w:p>
    <w:p w14:paraId="5168D55D" w14:textId="77777777" w:rsidR="005364E3" w:rsidRPr="005364E3" w:rsidRDefault="005364E3" w:rsidP="005364E3">
      <w:pPr>
        <w:pStyle w:val="ListParagraph"/>
        <w:rPr>
          <w:rFonts w:ascii="Georgia" w:hAnsi="Georgia"/>
          <w:sz w:val="26"/>
          <w:szCs w:val="26"/>
        </w:rPr>
      </w:pPr>
    </w:p>
    <w:p w14:paraId="61C34A02" w14:textId="77777777"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applying the theory of Pith and Substance in relation to HBS Account.</w:t>
      </w:r>
    </w:p>
    <w:p w14:paraId="1BFB2364" w14:textId="77777777" w:rsidR="009F4959" w:rsidRPr="009F4959" w:rsidRDefault="009F4959" w:rsidP="009F4959">
      <w:pPr>
        <w:pStyle w:val="ListParagraph"/>
        <w:rPr>
          <w:rFonts w:ascii="Georgia" w:hAnsi="Georgia"/>
          <w:sz w:val="26"/>
          <w:szCs w:val="26"/>
        </w:rPr>
      </w:pPr>
    </w:p>
    <w:p w14:paraId="5324C741" w14:textId="77777777"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holding that the Appellant was required to file declaration under Chapter VI of the Black Money (Undisclosed Foreign Income and Assets) and imposition of Tax Act, 2015 (hereinafter referred to as “the B. M. Act)</w:t>
      </w:r>
    </w:p>
    <w:p w14:paraId="44FCEE97" w14:textId="77777777" w:rsidR="009F4959" w:rsidRPr="009F4959" w:rsidRDefault="009F4959" w:rsidP="009F4959">
      <w:pPr>
        <w:pStyle w:val="ListParagraph"/>
        <w:rPr>
          <w:rFonts w:ascii="Georgia" w:hAnsi="Georgia"/>
          <w:sz w:val="26"/>
          <w:szCs w:val="26"/>
        </w:rPr>
      </w:pPr>
    </w:p>
    <w:p w14:paraId="38DB6A0A" w14:textId="77777777"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confirming addition of Rs.20,07,18,875/- and of Rs.80,10,38,174/- on account of Credit entries and market value of foreign assets as reflected in the bank account of BWR Trust whether under the deeming provisions of Section 69/69A or under Section 56 of the Act.</w:t>
      </w:r>
    </w:p>
    <w:p w14:paraId="547FD840" w14:textId="77777777" w:rsidR="009F4959" w:rsidRPr="009F4959" w:rsidRDefault="009F4959" w:rsidP="009F4959">
      <w:pPr>
        <w:pStyle w:val="ListParagraph"/>
        <w:rPr>
          <w:rFonts w:ascii="Georgia" w:hAnsi="Georgia"/>
          <w:sz w:val="26"/>
          <w:szCs w:val="26"/>
        </w:rPr>
      </w:pPr>
    </w:p>
    <w:p w14:paraId="13A060D8" w14:textId="77777777" w:rsidR="009F4959"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has erred in upholding addition of Rs.57,54,66,256/- out of total addition of Rs.57,54,66,256/- out of total addition of Rs.80,10,38,714/- made by Ld. AO.</w:t>
      </w:r>
    </w:p>
    <w:p w14:paraId="0AB007AD" w14:textId="77777777" w:rsidR="009F4959" w:rsidRPr="009F4959" w:rsidRDefault="009F4959" w:rsidP="009F4959">
      <w:pPr>
        <w:pStyle w:val="ListParagraph"/>
        <w:rPr>
          <w:rFonts w:ascii="Georgia" w:hAnsi="Georgia"/>
          <w:sz w:val="26"/>
          <w:szCs w:val="26"/>
        </w:rPr>
      </w:pPr>
    </w:p>
    <w:p w14:paraId="74C0F3FF" w14:textId="32F07F28" w:rsidR="005364E3" w:rsidRDefault="009F4959" w:rsidP="001D6150">
      <w:pPr>
        <w:pStyle w:val="ListParagraph"/>
        <w:numPr>
          <w:ilvl w:val="0"/>
          <w:numId w:val="1"/>
        </w:numPr>
        <w:spacing w:after="0" w:line="360" w:lineRule="auto"/>
        <w:jc w:val="both"/>
        <w:rPr>
          <w:rFonts w:ascii="Georgia" w:hAnsi="Georgia"/>
          <w:sz w:val="26"/>
          <w:szCs w:val="26"/>
        </w:rPr>
      </w:pPr>
      <w:r>
        <w:rPr>
          <w:rFonts w:ascii="Georgia" w:hAnsi="Georgia"/>
          <w:sz w:val="26"/>
          <w:szCs w:val="26"/>
        </w:rPr>
        <w:t>On the facts and in the circumstances of the case and in law, L</w:t>
      </w:r>
      <w:r>
        <w:rPr>
          <w:rFonts w:ascii="Georgia" w:hAnsi="Georgia"/>
          <w:sz w:val="26"/>
          <w:szCs w:val="26"/>
        </w:rPr>
        <w:t>d. CIT(A) erred in upholding the addition of Rs.19,32,546/- out of total addition of Rs.1</w:t>
      </w:r>
      <w:r w:rsidR="00862A05">
        <w:rPr>
          <w:rFonts w:ascii="Georgia" w:hAnsi="Georgia"/>
          <w:sz w:val="26"/>
          <w:szCs w:val="26"/>
        </w:rPr>
        <w:t>,</w:t>
      </w:r>
      <w:r>
        <w:rPr>
          <w:rFonts w:ascii="Georgia" w:hAnsi="Georgia"/>
          <w:sz w:val="26"/>
          <w:szCs w:val="26"/>
        </w:rPr>
        <w:t>41</w:t>
      </w:r>
      <w:r w:rsidR="00862A05">
        <w:rPr>
          <w:rFonts w:ascii="Georgia" w:hAnsi="Georgia"/>
          <w:sz w:val="26"/>
          <w:szCs w:val="26"/>
        </w:rPr>
        <w:t>,97,692/- made by Ld. AO.</w:t>
      </w:r>
      <w:r w:rsidR="005364E3">
        <w:rPr>
          <w:rFonts w:ascii="Georgia" w:hAnsi="Georgia"/>
          <w:sz w:val="26"/>
          <w:szCs w:val="26"/>
        </w:rPr>
        <w:t xml:space="preserve"> </w:t>
      </w:r>
    </w:p>
    <w:p w14:paraId="56C5A716" w14:textId="77777777" w:rsidR="00862A05" w:rsidRPr="00862A05" w:rsidRDefault="00862A05" w:rsidP="00862A05">
      <w:pPr>
        <w:pStyle w:val="ListParagraph"/>
        <w:rPr>
          <w:rFonts w:ascii="Georgia" w:hAnsi="Georgia"/>
          <w:sz w:val="26"/>
          <w:szCs w:val="26"/>
        </w:rPr>
      </w:pPr>
    </w:p>
    <w:p w14:paraId="036863B4" w14:textId="77777777" w:rsidR="00862A05" w:rsidRDefault="00862A05" w:rsidP="00862A05">
      <w:pPr>
        <w:pStyle w:val="ListParagraph"/>
        <w:spacing w:after="0" w:line="360" w:lineRule="auto"/>
        <w:jc w:val="both"/>
        <w:rPr>
          <w:rFonts w:ascii="Georgia" w:hAnsi="Georgia"/>
          <w:sz w:val="26"/>
          <w:szCs w:val="26"/>
        </w:rPr>
      </w:pPr>
    </w:p>
    <w:p w14:paraId="388CC6F1" w14:textId="77777777" w:rsidR="00862A05" w:rsidRDefault="00862A05" w:rsidP="00862A05">
      <w:pPr>
        <w:pStyle w:val="ListParagraph"/>
        <w:spacing w:after="0" w:line="360" w:lineRule="auto"/>
        <w:jc w:val="both"/>
        <w:rPr>
          <w:rFonts w:ascii="Georgia" w:hAnsi="Georgia"/>
          <w:sz w:val="26"/>
          <w:szCs w:val="26"/>
        </w:rPr>
      </w:pPr>
    </w:p>
    <w:p w14:paraId="7FECE666" w14:textId="652A3137" w:rsidR="00862A05" w:rsidRDefault="00862A05" w:rsidP="00862A05">
      <w:pPr>
        <w:pStyle w:val="ListParagraph"/>
        <w:spacing w:after="0" w:line="360" w:lineRule="auto"/>
        <w:ind w:left="5040" w:firstLine="720"/>
        <w:jc w:val="both"/>
        <w:rPr>
          <w:rFonts w:ascii="Georgia" w:hAnsi="Georgia"/>
          <w:b/>
          <w:bCs/>
          <w:sz w:val="28"/>
          <w:szCs w:val="28"/>
        </w:rPr>
      </w:pPr>
      <w:r w:rsidRPr="00862A05">
        <w:rPr>
          <w:rFonts w:ascii="Georgia" w:hAnsi="Georgia"/>
          <w:b/>
          <w:bCs/>
          <w:sz w:val="26"/>
          <w:szCs w:val="26"/>
        </w:rPr>
        <w:t>(</w:t>
      </w:r>
      <w:r w:rsidRPr="001D6150">
        <w:rPr>
          <w:rFonts w:ascii="Georgia" w:hAnsi="Georgia"/>
          <w:b/>
          <w:bCs/>
          <w:sz w:val="28"/>
          <w:szCs w:val="28"/>
        </w:rPr>
        <w:t>Indubala Porwal</w:t>
      </w:r>
      <w:r>
        <w:rPr>
          <w:rFonts w:ascii="Georgia" w:hAnsi="Georgia"/>
          <w:b/>
          <w:bCs/>
          <w:sz w:val="28"/>
          <w:szCs w:val="28"/>
        </w:rPr>
        <w:t>)</w:t>
      </w:r>
    </w:p>
    <w:p w14:paraId="4E8187CB" w14:textId="66FA6365" w:rsidR="00862A05" w:rsidRDefault="00862A05" w:rsidP="00862A05">
      <w:pPr>
        <w:spacing w:after="0" w:line="360" w:lineRule="auto"/>
        <w:jc w:val="both"/>
        <w:rPr>
          <w:rFonts w:ascii="Georgia" w:hAnsi="Georgia"/>
          <w:sz w:val="26"/>
          <w:szCs w:val="26"/>
        </w:rPr>
      </w:pPr>
      <w:r>
        <w:rPr>
          <w:rFonts w:ascii="Georgia" w:hAnsi="Georgia"/>
          <w:sz w:val="26"/>
          <w:szCs w:val="26"/>
        </w:rPr>
        <w:t>Date:</w:t>
      </w:r>
    </w:p>
    <w:p w14:paraId="300BE6F0" w14:textId="193FD800" w:rsidR="00862A05" w:rsidRPr="00862A05" w:rsidRDefault="00862A05" w:rsidP="00862A05">
      <w:pPr>
        <w:spacing w:after="0" w:line="360" w:lineRule="auto"/>
        <w:jc w:val="both"/>
        <w:rPr>
          <w:rFonts w:ascii="Georgia" w:hAnsi="Georgia"/>
          <w:sz w:val="26"/>
          <w:szCs w:val="26"/>
        </w:rPr>
      </w:pPr>
      <w:r>
        <w:rPr>
          <w:rFonts w:ascii="Georgia" w:hAnsi="Georgia"/>
          <w:sz w:val="26"/>
          <w:szCs w:val="26"/>
        </w:rPr>
        <w:t>Place:</w:t>
      </w:r>
    </w:p>
    <w:p w14:paraId="14168D94" w14:textId="77777777" w:rsidR="001D6150" w:rsidRDefault="001D6150" w:rsidP="001D6150">
      <w:pPr>
        <w:spacing w:line="360" w:lineRule="auto"/>
        <w:jc w:val="center"/>
        <w:rPr>
          <w:rFonts w:ascii="Georgia" w:hAnsi="Georgia"/>
          <w:sz w:val="26"/>
          <w:szCs w:val="26"/>
        </w:rPr>
      </w:pPr>
    </w:p>
    <w:p w14:paraId="421DF7E5" w14:textId="77777777" w:rsidR="001D6150" w:rsidRDefault="001D6150" w:rsidP="001D6150">
      <w:pPr>
        <w:spacing w:line="360" w:lineRule="auto"/>
        <w:jc w:val="center"/>
        <w:rPr>
          <w:rFonts w:ascii="Georgia" w:hAnsi="Georgia"/>
          <w:sz w:val="26"/>
          <w:szCs w:val="26"/>
        </w:rPr>
      </w:pPr>
    </w:p>
    <w:p w14:paraId="4DB6AF9A" w14:textId="77777777" w:rsidR="001D6150" w:rsidRPr="001D6150" w:rsidRDefault="001D6150" w:rsidP="001D6150">
      <w:pPr>
        <w:spacing w:line="360" w:lineRule="auto"/>
        <w:jc w:val="center"/>
        <w:rPr>
          <w:rFonts w:ascii="Georgia" w:hAnsi="Georgia"/>
          <w:sz w:val="26"/>
          <w:szCs w:val="26"/>
        </w:rPr>
      </w:pPr>
    </w:p>
    <w:sectPr w:rsidR="001D6150" w:rsidRPr="001D6150" w:rsidSect="00C362E7">
      <w:pgSz w:w="12240" w:h="15840"/>
      <w:pgMar w:top="1440" w:right="12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C7E"/>
    <w:multiLevelType w:val="hybridMultilevel"/>
    <w:tmpl w:val="658C0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86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44"/>
    <w:rsid w:val="0002762D"/>
    <w:rsid w:val="000B651D"/>
    <w:rsid w:val="001329EF"/>
    <w:rsid w:val="001D6150"/>
    <w:rsid w:val="003B1790"/>
    <w:rsid w:val="005364E3"/>
    <w:rsid w:val="00621772"/>
    <w:rsid w:val="00790CC9"/>
    <w:rsid w:val="00862A05"/>
    <w:rsid w:val="008D4744"/>
    <w:rsid w:val="009F4959"/>
    <w:rsid w:val="00AA7C2A"/>
    <w:rsid w:val="00B01858"/>
    <w:rsid w:val="00BC3484"/>
    <w:rsid w:val="00C362E7"/>
    <w:rsid w:val="00DF5919"/>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9F51"/>
  <w15:chartTrackingRefBased/>
  <w15:docId w15:val="{20BAEABA-3340-47F0-A405-F8D89BF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Shinde</dc:creator>
  <cp:keywords/>
  <dc:description/>
  <cp:lastModifiedBy>Nikhil Shinde</cp:lastModifiedBy>
  <cp:revision>10</cp:revision>
  <dcterms:created xsi:type="dcterms:W3CDTF">2023-05-06T09:10:00Z</dcterms:created>
  <dcterms:modified xsi:type="dcterms:W3CDTF">2023-05-06T10:33:00Z</dcterms:modified>
</cp:coreProperties>
</file>