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77" w:rsidRPr="00C854A1" w:rsidRDefault="00E21495" w:rsidP="00F238AF">
      <w:pPr>
        <w:jc w:val="both"/>
        <w:rPr>
          <w:rFonts w:ascii="Verdana" w:hAnsi="Verdana"/>
          <w:b/>
          <w:sz w:val="24"/>
          <w:szCs w:val="24"/>
          <w:u w:val="single"/>
          <w:lang w:val="en-US"/>
        </w:rPr>
      </w:pPr>
      <w:r w:rsidRPr="00C854A1">
        <w:rPr>
          <w:rFonts w:ascii="Verdana" w:hAnsi="Verdana"/>
          <w:b/>
          <w:sz w:val="24"/>
          <w:szCs w:val="24"/>
          <w:u w:val="single"/>
          <w:lang w:val="en-US"/>
        </w:rPr>
        <w:t>Indubala-Foreign Trust</w:t>
      </w:r>
      <w:r w:rsidR="000275C7" w:rsidRPr="00C854A1">
        <w:rPr>
          <w:rFonts w:ascii="Verdana" w:hAnsi="Verdana"/>
          <w:b/>
          <w:sz w:val="24"/>
          <w:szCs w:val="24"/>
          <w:u w:val="single"/>
          <w:lang w:val="en-US"/>
        </w:rPr>
        <w:t xml:space="preserve"> matter</w:t>
      </w:r>
      <w:r w:rsidRPr="00C854A1">
        <w:rPr>
          <w:rFonts w:ascii="Verdana" w:hAnsi="Verdana"/>
          <w:b/>
          <w:sz w:val="24"/>
          <w:szCs w:val="24"/>
          <w:u w:val="single"/>
          <w:lang w:val="en-US"/>
        </w:rPr>
        <w:t>:</w:t>
      </w:r>
    </w:p>
    <w:p w:rsidR="00EC2B3A" w:rsidRDefault="004427CC" w:rsidP="00F238AF">
      <w:pPr>
        <w:jc w:val="both"/>
        <w:rPr>
          <w:rFonts w:ascii="Verdana" w:hAnsi="Verdana"/>
          <w:sz w:val="24"/>
          <w:szCs w:val="24"/>
          <w:lang w:val="en-US"/>
        </w:rPr>
      </w:pPr>
      <w:r>
        <w:rPr>
          <w:rFonts w:ascii="Verdana" w:hAnsi="Verdana"/>
          <w:sz w:val="24"/>
          <w:szCs w:val="24"/>
          <w:lang w:val="en-US"/>
        </w:rPr>
        <w:t xml:space="preserve">Assessment for the assessment year 2014-15 (In short, “A.Yr.”) has been completed by the learned Assessing Officer (hereinafter referred to as “the AO”) determining total income at Rs. 101, 68, 34,710/-(Rs. One hundred one Crores sixty eight lakhs thirty four thousand seven hundred ten only) as against total income returned by the appellant at Rs. 8, 79,520/- in terms of section 143 (3) read with Section 153A of the Income-tax Act, 1961 (In short, “the Act”). This has been </w:t>
      </w:r>
      <w:r w:rsidR="00022A26">
        <w:rPr>
          <w:rFonts w:ascii="Verdana" w:hAnsi="Verdana"/>
          <w:sz w:val="24"/>
          <w:szCs w:val="24"/>
          <w:lang w:val="en-US"/>
        </w:rPr>
        <w:t>done by holding</w:t>
      </w:r>
      <w:r>
        <w:rPr>
          <w:rFonts w:ascii="Verdana" w:hAnsi="Verdana"/>
          <w:sz w:val="24"/>
          <w:szCs w:val="24"/>
          <w:lang w:val="en-US"/>
        </w:rPr>
        <w:t xml:space="preserve"> in Para 5.13 at Page (22) of the </w:t>
      </w:r>
      <w:r w:rsidR="00022A26">
        <w:rPr>
          <w:rFonts w:ascii="Verdana" w:hAnsi="Verdana"/>
          <w:sz w:val="24"/>
          <w:szCs w:val="24"/>
          <w:lang w:val="en-US"/>
        </w:rPr>
        <w:t>order dated 30</w:t>
      </w:r>
      <w:r w:rsidR="00022A26" w:rsidRPr="00022A26">
        <w:rPr>
          <w:rFonts w:ascii="Verdana" w:hAnsi="Verdana"/>
          <w:sz w:val="24"/>
          <w:szCs w:val="24"/>
          <w:vertAlign w:val="superscript"/>
          <w:lang w:val="en-US"/>
        </w:rPr>
        <w:t>th</w:t>
      </w:r>
      <w:r w:rsidR="00022A26">
        <w:rPr>
          <w:rFonts w:ascii="Verdana" w:hAnsi="Verdana"/>
          <w:sz w:val="24"/>
          <w:szCs w:val="24"/>
          <w:lang w:val="en-US"/>
        </w:rPr>
        <w:t xml:space="preserve"> September, 2021 that the bank account under consideration belong to the assessee and is being</w:t>
      </w:r>
      <w:r w:rsidR="00F238AF">
        <w:rPr>
          <w:rFonts w:ascii="Verdana" w:hAnsi="Verdana"/>
          <w:sz w:val="24"/>
          <w:szCs w:val="24"/>
          <w:lang w:val="en-US"/>
        </w:rPr>
        <w:t xml:space="preserve"> managed and controlled by her.</w:t>
      </w:r>
    </w:p>
    <w:p w:rsidR="00EC2B3A" w:rsidRDefault="00022A26" w:rsidP="00F238AF">
      <w:pPr>
        <w:jc w:val="both"/>
        <w:rPr>
          <w:rFonts w:ascii="Verdana" w:hAnsi="Verdana"/>
          <w:sz w:val="24"/>
          <w:szCs w:val="24"/>
          <w:lang w:val="en-US"/>
        </w:rPr>
      </w:pPr>
      <w:r>
        <w:rPr>
          <w:rFonts w:ascii="Verdana" w:hAnsi="Verdana"/>
          <w:sz w:val="24"/>
          <w:szCs w:val="24"/>
          <w:lang w:val="en-US"/>
        </w:rPr>
        <w:t>The bank account which has been held to be belonging to her is in the name of Terapanth being account number 0011634001000840 with Hinduja Bank (Switzerland) Ltd</w:t>
      </w:r>
      <w:r w:rsidR="00EC2B3A">
        <w:rPr>
          <w:rFonts w:ascii="Verdana" w:hAnsi="Verdana"/>
          <w:sz w:val="24"/>
          <w:szCs w:val="24"/>
          <w:lang w:val="en-US"/>
        </w:rPr>
        <w:t>. (In short, “the Hinduja Bank”).</w:t>
      </w:r>
    </w:p>
    <w:p w:rsidR="004427CC" w:rsidRDefault="00022A26" w:rsidP="00F238AF">
      <w:pPr>
        <w:jc w:val="both"/>
        <w:rPr>
          <w:rFonts w:ascii="Verdana" w:hAnsi="Verdana"/>
          <w:sz w:val="24"/>
          <w:szCs w:val="24"/>
          <w:lang w:val="en-US"/>
        </w:rPr>
      </w:pPr>
      <w:r>
        <w:rPr>
          <w:rFonts w:ascii="Verdana" w:hAnsi="Verdana"/>
          <w:sz w:val="24"/>
          <w:szCs w:val="24"/>
          <w:lang w:val="en-US"/>
        </w:rPr>
        <w:t>The fact of existence of the</w:t>
      </w:r>
      <w:r w:rsidR="00EC2B3A">
        <w:rPr>
          <w:rFonts w:ascii="Verdana" w:hAnsi="Verdana"/>
          <w:sz w:val="24"/>
          <w:szCs w:val="24"/>
          <w:lang w:val="en-US"/>
        </w:rPr>
        <w:t xml:space="preserve"> bank account with </w:t>
      </w:r>
      <w:r>
        <w:rPr>
          <w:rFonts w:ascii="Verdana" w:hAnsi="Verdana"/>
          <w:sz w:val="24"/>
          <w:szCs w:val="24"/>
          <w:lang w:val="en-US"/>
        </w:rPr>
        <w:t>Hinduja Bank came to be known from the recovery of a word fle maintained in the laptop of one, Shri Nikhil Rajmal J</w:t>
      </w:r>
      <w:r w:rsidR="00EC2B3A">
        <w:rPr>
          <w:rFonts w:ascii="Verdana" w:hAnsi="Verdana"/>
          <w:sz w:val="24"/>
          <w:szCs w:val="24"/>
          <w:lang w:val="en-US"/>
        </w:rPr>
        <w:t>ain</w:t>
      </w:r>
      <w:r>
        <w:rPr>
          <w:rFonts w:ascii="Verdana" w:hAnsi="Verdana"/>
          <w:sz w:val="24"/>
          <w:szCs w:val="24"/>
          <w:lang w:val="en-US"/>
        </w:rPr>
        <w:t xml:space="preserve"> </w:t>
      </w:r>
      <w:r w:rsidRPr="00F238AF">
        <w:rPr>
          <w:rFonts w:ascii="Verdana" w:hAnsi="Verdana"/>
          <w:color w:val="FF0000"/>
          <w:sz w:val="24"/>
          <w:szCs w:val="24"/>
          <w:highlight w:val="yellow"/>
          <w:lang w:val="en-US"/>
        </w:rPr>
        <w:t>who was employed with GBH American Hospital</w:t>
      </w:r>
      <w:r>
        <w:rPr>
          <w:rFonts w:ascii="Verdana" w:hAnsi="Verdana"/>
          <w:sz w:val="24"/>
          <w:szCs w:val="24"/>
          <w:lang w:val="en-US"/>
        </w:rPr>
        <w:t xml:space="preserve"> Udaipur in the course of action under Section 132</w:t>
      </w:r>
      <w:r w:rsidR="00EC2B3A">
        <w:rPr>
          <w:rFonts w:ascii="Verdana" w:hAnsi="Verdana"/>
          <w:sz w:val="24"/>
          <w:szCs w:val="24"/>
          <w:lang w:val="en-US"/>
        </w:rPr>
        <w:t xml:space="preserve"> of the Act on 02.01.2019. The said person was also covered by search under section 132 of the Act. The word file was in the form of an instruction sent to Mr. Anil Chaturvedi, Managing Director, Hinduja Bank, Switzerland for the transfer of a sum of USD 5, 00,000/- (Five Lakhs only) to Shanvi International FZC</w:t>
      </w:r>
      <w:r w:rsidR="00AE48B8">
        <w:rPr>
          <w:rFonts w:ascii="Verdana" w:hAnsi="Verdana"/>
          <w:sz w:val="24"/>
          <w:szCs w:val="24"/>
          <w:lang w:val="en-US"/>
        </w:rPr>
        <w:t>, Dubai</w:t>
      </w:r>
      <w:r w:rsidR="00EC2B3A">
        <w:rPr>
          <w:rFonts w:ascii="Verdana" w:hAnsi="Verdana"/>
          <w:sz w:val="24"/>
          <w:szCs w:val="24"/>
          <w:lang w:val="en-US"/>
        </w:rPr>
        <w:t xml:space="preserve"> for fixed deposit and the instructio</w:t>
      </w:r>
      <w:r w:rsidR="00F238AF">
        <w:rPr>
          <w:rFonts w:ascii="Verdana" w:hAnsi="Verdana"/>
          <w:sz w:val="24"/>
          <w:szCs w:val="24"/>
          <w:lang w:val="en-US"/>
        </w:rPr>
        <w:t xml:space="preserve">n bore the name of the </w:t>
      </w:r>
      <w:proofErr w:type="spellStart"/>
      <w:r w:rsidR="00F238AF">
        <w:rPr>
          <w:rFonts w:ascii="Verdana" w:hAnsi="Verdana"/>
          <w:sz w:val="24"/>
          <w:szCs w:val="24"/>
          <w:lang w:val="en-US"/>
        </w:rPr>
        <w:t>assessee</w:t>
      </w:r>
      <w:proofErr w:type="spellEnd"/>
      <w:r w:rsidR="00F238AF">
        <w:rPr>
          <w:rFonts w:ascii="Verdana" w:hAnsi="Verdana"/>
          <w:sz w:val="24"/>
          <w:szCs w:val="24"/>
          <w:lang w:val="en-US"/>
        </w:rPr>
        <w:t xml:space="preserve"> </w:t>
      </w:r>
      <w:r w:rsidR="00F238AF" w:rsidRPr="00F238AF">
        <w:rPr>
          <w:rFonts w:ascii="Verdana" w:hAnsi="Verdana"/>
          <w:color w:val="00B050"/>
          <w:sz w:val="24"/>
          <w:szCs w:val="24"/>
          <w:lang w:val="en-US"/>
        </w:rPr>
        <w:t>without any signature</w:t>
      </w:r>
      <w:r w:rsidR="00F238AF">
        <w:rPr>
          <w:rFonts w:ascii="Verdana" w:hAnsi="Verdana"/>
          <w:color w:val="00B050"/>
          <w:sz w:val="24"/>
          <w:szCs w:val="24"/>
          <w:lang w:val="en-US"/>
        </w:rPr>
        <w:t xml:space="preserve"> or designation</w:t>
      </w:r>
      <w:r w:rsidR="00EC2B3A">
        <w:rPr>
          <w:rFonts w:ascii="Verdana" w:hAnsi="Verdana"/>
          <w:sz w:val="24"/>
          <w:szCs w:val="24"/>
          <w:lang w:val="en-US"/>
        </w:rPr>
        <w:t xml:space="preserve"> Pursuant to the recovery of the </w:t>
      </w:r>
      <w:r w:rsidR="00AE48B8">
        <w:rPr>
          <w:rFonts w:ascii="Verdana" w:hAnsi="Verdana"/>
          <w:sz w:val="24"/>
          <w:szCs w:val="24"/>
          <w:lang w:val="en-US"/>
        </w:rPr>
        <w:t>instruction, department sought information from both the jurisdictions, namely, Switzerland as well UAE, und</w:t>
      </w:r>
      <w:r w:rsidR="009409C0">
        <w:rPr>
          <w:rFonts w:ascii="Verdana" w:hAnsi="Verdana"/>
          <w:sz w:val="24"/>
          <w:szCs w:val="24"/>
          <w:lang w:val="en-US"/>
        </w:rPr>
        <w:t>er the Exchange of Information A</w:t>
      </w:r>
      <w:r w:rsidR="00AE48B8">
        <w:rPr>
          <w:rFonts w:ascii="Verdana" w:hAnsi="Verdana"/>
          <w:sz w:val="24"/>
          <w:szCs w:val="24"/>
          <w:lang w:val="en-US"/>
        </w:rPr>
        <w:t>rticle of the tax treaties with both the countries, in March, 2019. The requests sent in this regard are part of the assessment order and not being repeated here.</w:t>
      </w:r>
      <w:r w:rsidR="004E11A3">
        <w:rPr>
          <w:rFonts w:ascii="Verdana" w:hAnsi="Verdana"/>
          <w:sz w:val="24"/>
          <w:szCs w:val="24"/>
          <w:lang w:val="en-US"/>
        </w:rPr>
        <w:t xml:space="preserve"> </w:t>
      </w:r>
      <w:r w:rsidR="00AE48B8">
        <w:rPr>
          <w:rFonts w:ascii="Verdana" w:hAnsi="Verdana"/>
          <w:sz w:val="24"/>
          <w:szCs w:val="24"/>
          <w:lang w:val="en-US"/>
        </w:rPr>
        <w:t xml:space="preserve">It is further stated in the assessment order that the information was received on 18.11.2020 and as per this information, the assessee; Mrs. Indubala Jain maintained a bank account with Hinduja Bank, Switzerland. </w:t>
      </w:r>
      <w:r w:rsidR="00AE48B8" w:rsidRPr="00F238AF">
        <w:rPr>
          <w:rFonts w:ascii="Verdana" w:hAnsi="Verdana"/>
          <w:color w:val="FF0000"/>
          <w:sz w:val="24"/>
          <w:szCs w:val="24"/>
          <w:highlight w:val="yellow"/>
          <w:lang w:val="en-US"/>
        </w:rPr>
        <w:t>What happened with the request with UAE authorities is not known as nothing has been mentioned in this regard in the assessment order</w:t>
      </w:r>
      <w:r w:rsidR="00AE48B8" w:rsidRPr="00F238AF">
        <w:rPr>
          <w:rFonts w:ascii="Verdana" w:hAnsi="Verdana"/>
          <w:color w:val="FF0000"/>
          <w:sz w:val="24"/>
          <w:szCs w:val="24"/>
          <w:lang w:val="en-US"/>
        </w:rPr>
        <w:t>.</w:t>
      </w:r>
      <w:r w:rsidR="003C7DB9">
        <w:rPr>
          <w:rFonts w:ascii="Verdana" w:hAnsi="Verdana"/>
          <w:sz w:val="24"/>
          <w:szCs w:val="24"/>
          <w:lang w:val="en-US"/>
        </w:rPr>
        <w:t xml:space="preserve"> The account with Hinduja Bank is said to be opened on 19</w:t>
      </w:r>
      <w:r w:rsidR="003C7DB9" w:rsidRPr="003C7DB9">
        <w:rPr>
          <w:rFonts w:ascii="Verdana" w:hAnsi="Verdana"/>
          <w:sz w:val="24"/>
          <w:szCs w:val="24"/>
          <w:vertAlign w:val="superscript"/>
          <w:lang w:val="en-US"/>
        </w:rPr>
        <w:t>th</w:t>
      </w:r>
      <w:r w:rsidR="003C7DB9">
        <w:rPr>
          <w:rFonts w:ascii="Verdana" w:hAnsi="Verdana"/>
          <w:sz w:val="24"/>
          <w:szCs w:val="24"/>
          <w:lang w:val="en-US"/>
        </w:rPr>
        <w:t xml:space="preserve"> July, 2013 and a look at </w:t>
      </w:r>
      <w:r w:rsidR="004E11A3">
        <w:rPr>
          <w:rFonts w:ascii="Verdana" w:hAnsi="Verdana"/>
          <w:sz w:val="24"/>
          <w:szCs w:val="24"/>
          <w:lang w:val="en-US"/>
        </w:rPr>
        <w:t>the enclosure</w:t>
      </w:r>
      <w:r w:rsidR="003C7DB9">
        <w:rPr>
          <w:rFonts w:ascii="Verdana" w:hAnsi="Verdana"/>
          <w:sz w:val="24"/>
          <w:szCs w:val="24"/>
          <w:lang w:val="en-US"/>
        </w:rPr>
        <w:t>-1 and enclosure-2 shows that the name of the account is “Terapanth” with following details:</w:t>
      </w:r>
    </w:p>
    <w:p w:rsidR="003C7DB9" w:rsidRPr="0075604B" w:rsidRDefault="003C7DB9" w:rsidP="00F238AF">
      <w:pPr>
        <w:jc w:val="both"/>
        <w:rPr>
          <w:rFonts w:ascii="Verdana" w:hAnsi="Verdana"/>
          <w:b/>
          <w:sz w:val="24"/>
          <w:szCs w:val="24"/>
          <w:u w:val="single"/>
          <w:lang w:val="en-US"/>
        </w:rPr>
      </w:pPr>
      <w:r w:rsidRPr="0075604B">
        <w:rPr>
          <w:rFonts w:ascii="Verdana" w:hAnsi="Verdana"/>
          <w:b/>
          <w:sz w:val="24"/>
          <w:szCs w:val="24"/>
          <w:u w:val="single"/>
          <w:lang w:val="en-US"/>
        </w:rPr>
        <w:t>Enclosure-1:</w:t>
      </w:r>
    </w:p>
    <w:p w:rsidR="003C7DB9" w:rsidRDefault="003C7DB9" w:rsidP="00F238AF">
      <w:pPr>
        <w:jc w:val="both"/>
        <w:rPr>
          <w:rFonts w:ascii="Verdana" w:hAnsi="Verdana"/>
          <w:sz w:val="24"/>
          <w:szCs w:val="24"/>
          <w:lang w:val="en-US"/>
        </w:rPr>
      </w:pPr>
      <w:r>
        <w:rPr>
          <w:rFonts w:ascii="Verdana" w:hAnsi="Verdana"/>
          <w:sz w:val="24"/>
          <w:szCs w:val="24"/>
          <w:lang w:val="en-US"/>
        </w:rPr>
        <w:lastRenderedPageBreak/>
        <w:t>Current Account- CHF- Swiss Franc</w:t>
      </w:r>
    </w:p>
    <w:p w:rsidR="003C7DB9" w:rsidRDefault="003C7DB9" w:rsidP="00F238AF">
      <w:pPr>
        <w:jc w:val="both"/>
        <w:rPr>
          <w:rFonts w:ascii="Verdana" w:hAnsi="Verdana"/>
          <w:sz w:val="24"/>
          <w:szCs w:val="24"/>
          <w:lang w:val="en-US"/>
        </w:rPr>
      </w:pPr>
      <w:r>
        <w:rPr>
          <w:rFonts w:ascii="Verdana" w:hAnsi="Verdana"/>
          <w:sz w:val="24"/>
          <w:szCs w:val="24"/>
          <w:lang w:val="en-US"/>
        </w:rPr>
        <w:t>Name- Terapanth</w:t>
      </w:r>
    </w:p>
    <w:p w:rsidR="003C7DB9" w:rsidRDefault="003C7DB9" w:rsidP="00F238AF">
      <w:pPr>
        <w:jc w:val="both"/>
        <w:rPr>
          <w:rFonts w:ascii="Verdana" w:hAnsi="Verdana"/>
          <w:sz w:val="24"/>
          <w:szCs w:val="24"/>
          <w:lang w:val="en-US"/>
        </w:rPr>
      </w:pPr>
      <w:r>
        <w:rPr>
          <w:rFonts w:ascii="Verdana" w:hAnsi="Verdana"/>
          <w:sz w:val="24"/>
          <w:szCs w:val="24"/>
          <w:lang w:val="en-US"/>
        </w:rPr>
        <w:t>Account number- 0011634.001.000.001.</w:t>
      </w:r>
    </w:p>
    <w:p w:rsidR="003C7DB9" w:rsidRDefault="003C7DB9" w:rsidP="00F238AF">
      <w:pPr>
        <w:jc w:val="both"/>
        <w:rPr>
          <w:rFonts w:ascii="Verdana" w:hAnsi="Verdana"/>
          <w:sz w:val="24"/>
          <w:szCs w:val="24"/>
          <w:lang w:val="en-US"/>
        </w:rPr>
      </w:pPr>
      <w:proofErr w:type="gramStart"/>
      <w:r>
        <w:rPr>
          <w:rFonts w:ascii="Verdana" w:hAnsi="Verdana"/>
          <w:sz w:val="24"/>
          <w:szCs w:val="24"/>
          <w:lang w:val="en-US"/>
        </w:rPr>
        <w:t>IBAN- CH9708827001163404001.</w:t>
      </w:r>
      <w:proofErr w:type="gramEnd"/>
    </w:p>
    <w:p w:rsidR="003C7DB9" w:rsidRDefault="003C7DB9" w:rsidP="00F238AF">
      <w:pPr>
        <w:jc w:val="both"/>
        <w:rPr>
          <w:rFonts w:ascii="Verdana" w:hAnsi="Verdana"/>
          <w:sz w:val="24"/>
          <w:szCs w:val="24"/>
          <w:lang w:val="en-US"/>
        </w:rPr>
      </w:pPr>
      <w:r>
        <w:rPr>
          <w:rFonts w:ascii="Verdana" w:hAnsi="Verdana"/>
          <w:sz w:val="24"/>
          <w:szCs w:val="24"/>
          <w:lang w:val="en-US"/>
        </w:rPr>
        <w:t xml:space="preserve">Period- </w:t>
      </w:r>
      <w:proofErr w:type="gramStart"/>
      <w:r>
        <w:rPr>
          <w:rFonts w:ascii="Verdana" w:hAnsi="Verdana"/>
          <w:sz w:val="24"/>
          <w:szCs w:val="24"/>
          <w:lang w:val="en-US"/>
        </w:rPr>
        <w:t>01.07.2013  31.12.2013</w:t>
      </w:r>
      <w:proofErr w:type="gramEnd"/>
    </w:p>
    <w:p w:rsidR="003C7DB9" w:rsidRDefault="003C7DB9" w:rsidP="00F238AF">
      <w:pPr>
        <w:jc w:val="both"/>
        <w:rPr>
          <w:rFonts w:ascii="Verdana" w:hAnsi="Verdana"/>
          <w:sz w:val="24"/>
          <w:szCs w:val="24"/>
          <w:lang w:val="en-US"/>
        </w:rPr>
      </w:pPr>
      <w:r w:rsidRPr="0075604B">
        <w:rPr>
          <w:rFonts w:ascii="Verdana" w:hAnsi="Verdana"/>
          <w:b/>
          <w:sz w:val="24"/>
          <w:szCs w:val="24"/>
          <w:u w:val="single"/>
          <w:lang w:val="en-US"/>
        </w:rPr>
        <w:t>Enclosure2-</w:t>
      </w:r>
      <w:r>
        <w:rPr>
          <w:rFonts w:ascii="Verdana" w:hAnsi="Verdana"/>
          <w:sz w:val="24"/>
          <w:szCs w:val="24"/>
          <w:lang w:val="en-US"/>
        </w:rPr>
        <w:t xml:space="preserve"> Portfolio statement as of 31.12.2020</w:t>
      </w:r>
    </w:p>
    <w:p w:rsidR="003C7DB9" w:rsidRDefault="003C7DB9" w:rsidP="00F238AF">
      <w:pPr>
        <w:jc w:val="both"/>
        <w:rPr>
          <w:rFonts w:ascii="Verdana" w:hAnsi="Verdana"/>
          <w:sz w:val="24"/>
          <w:szCs w:val="24"/>
          <w:lang w:val="en-US"/>
        </w:rPr>
      </w:pPr>
      <w:r>
        <w:rPr>
          <w:rFonts w:ascii="Verdana" w:hAnsi="Verdana"/>
          <w:sz w:val="24"/>
          <w:szCs w:val="24"/>
          <w:lang w:val="en-US"/>
        </w:rPr>
        <w:t>Relationship Name- 11634 Terapanth</w:t>
      </w:r>
    </w:p>
    <w:p w:rsidR="00083A45" w:rsidRDefault="00083A45" w:rsidP="00F238AF">
      <w:pPr>
        <w:jc w:val="both"/>
        <w:rPr>
          <w:rFonts w:ascii="Verdana" w:hAnsi="Verdana"/>
          <w:sz w:val="24"/>
          <w:szCs w:val="24"/>
          <w:lang w:val="en-US"/>
        </w:rPr>
      </w:pPr>
      <w:r>
        <w:rPr>
          <w:rFonts w:ascii="Verdana" w:hAnsi="Verdana"/>
          <w:sz w:val="24"/>
          <w:szCs w:val="24"/>
          <w:lang w:val="en-US"/>
        </w:rPr>
        <w:t>Relationship- oo11634</w:t>
      </w:r>
    </w:p>
    <w:p w:rsidR="003C7DB9" w:rsidRDefault="003C7DB9" w:rsidP="00F238AF">
      <w:pPr>
        <w:jc w:val="both"/>
        <w:rPr>
          <w:rFonts w:ascii="Verdana" w:hAnsi="Verdana"/>
          <w:sz w:val="24"/>
          <w:szCs w:val="24"/>
          <w:lang w:val="en-US"/>
        </w:rPr>
      </w:pPr>
      <w:r>
        <w:rPr>
          <w:rFonts w:ascii="Verdana" w:hAnsi="Verdana"/>
          <w:sz w:val="24"/>
          <w:szCs w:val="24"/>
          <w:lang w:val="en-US"/>
        </w:rPr>
        <w:t>Portfolio</w:t>
      </w:r>
      <w:r w:rsidR="00083A45">
        <w:rPr>
          <w:rFonts w:ascii="Verdana" w:hAnsi="Verdana"/>
          <w:sz w:val="24"/>
          <w:szCs w:val="24"/>
          <w:lang w:val="en-US"/>
        </w:rPr>
        <w:t>-       0011634.1001</w:t>
      </w:r>
    </w:p>
    <w:p w:rsidR="00083A45" w:rsidRDefault="00083A45" w:rsidP="00F238AF">
      <w:pPr>
        <w:jc w:val="both"/>
        <w:rPr>
          <w:rFonts w:ascii="Verdana" w:hAnsi="Verdana"/>
          <w:sz w:val="24"/>
          <w:szCs w:val="24"/>
          <w:lang w:val="en-US"/>
        </w:rPr>
      </w:pPr>
      <w:proofErr w:type="gramStart"/>
      <w:r>
        <w:rPr>
          <w:rFonts w:ascii="Verdana" w:hAnsi="Verdana"/>
          <w:sz w:val="24"/>
          <w:szCs w:val="24"/>
          <w:lang w:val="en-US"/>
        </w:rPr>
        <w:t>Reference currency- USD.</w:t>
      </w:r>
      <w:proofErr w:type="gramEnd"/>
    </w:p>
    <w:p w:rsidR="004427CC" w:rsidRDefault="004E11A3" w:rsidP="00F238AF">
      <w:pPr>
        <w:jc w:val="both"/>
        <w:rPr>
          <w:rFonts w:ascii="Verdana" w:hAnsi="Verdana"/>
          <w:sz w:val="24"/>
          <w:szCs w:val="24"/>
          <w:lang w:val="en-US"/>
        </w:rPr>
      </w:pPr>
      <w:r>
        <w:rPr>
          <w:rFonts w:ascii="Verdana" w:hAnsi="Verdana"/>
          <w:sz w:val="24"/>
          <w:szCs w:val="24"/>
          <w:lang w:val="en-US"/>
        </w:rPr>
        <w:t>There is a reason as to why this account in the name of “Terapanth” has been opened on 19</w:t>
      </w:r>
      <w:r w:rsidRPr="004E11A3">
        <w:rPr>
          <w:rFonts w:ascii="Verdana" w:hAnsi="Verdana"/>
          <w:sz w:val="24"/>
          <w:szCs w:val="24"/>
          <w:vertAlign w:val="superscript"/>
          <w:lang w:val="en-US"/>
        </w:rPr>
        <w:t>th</w:t>
      </w:r>
      <w:r>
        <w:rPr>
          <w:rFonts w:ascii="Verdana" w:hAnsi="Verdana"/>
          <w:sz w:val="24"/>
          <w:szCs w:val="24"/>
          <w:lang w:val="en-US"/>
        </w:rPr>
        <w:t xml:space="preserve"> July, 2013 at Hinduja Bank, Switzerland and explanation in this regard was offered to the learned AO who has conveniently overlooked and ignored the explanation</w:t>
      </w:r>
      <w:r w:rsidR="00F238AF">
        <w:rPr>
          <w:rFonts w:ascii="Verdana" w:hAnsi="Verdana"/>
          <w:sz w:val="24"/>
          <w:szCs w:val="24"/>
          <w:lang w:val="en-US"/>
        </w:rPr>
        <w:t xml:space="preserve"> </w:t>
      </w:r>
      <w:r w:rsidR="00F238AF" w:rsidRPr="00F238AF">
        <w:rPr>
          <w:rFonts w:ascii="Verdana" w:hAnsi="Verdana"/>
          <w:sz w:val="24"/>
          <w:szCs w:val="24"/>
          <w:highlight w:val="yellow"/>
          <w:lang w:val="en-US"/>
        </w:rPr>
        <w:t>and documents</w:t>
      </w:r>
      <w:r w:rsidR="00F238AF">
        <w:rPr>
          <w:rFonts w:ascii="Verdana" w:hAnsi="Verdana"/>
          <w:sz w:val="24"/>
          <w:szCs w:val="24"/>
          <w:lang w:val="en-US"/>
        </w:rPr>
        <w:t xml:space="preserve"> </w:t>
      </w:r>
      <w:r w:rsidR="00F238AF" w:rsidRPr="00F238AF">
        <w:rPr>
          <w:rFonts w:ascii="Verdana" w:hAnsi="Verdana"/>
          <w:sz w:val="24"/>
          <w:szCs w:val="24"/>
          <w:highlight w:val="yellow"/>
          <w:lang w:val="en-US"/>
        </w:rPr>
        <w:t>including certified copies</w:t>
      </w:r>
      <w:r>
        <w:rPr>
          <w:rFonts w:ascii="Verdana" w:hAnsi="Verdana"/>
          <w:sz w:val="24"/>
          <w:szCs w:val="24"/>
          <w:lang w:val="en-US"/>
        </w:rPr>
        <w:t xml:space="preserve"> given by the assessee in the course of assessment proceedings for no rhyme or reason. The facts underlying this development were explained to the learned AO as under:</w:t>
      </w:r>
    </w:p>
    <w:p w:rsidR="00E21495" w:rsidRDefault="00E21495" w:rsidP="00F238AF">
      <w:pPr>
        <w:jc w:val="both"/>
        <w:rPr>
          <w:rFonts w:ascii="Verdana" w:hAnsi="Verdana"/>
          <w:sz w:val="24"/>
          <w:szCs w:val="24"/>
          <w:lang w:val="en-US"/>
        </w:rPr>
      </w:pPr>
      <w:r>
        <w:rPr>
          <w:rFonts w:ascii="Verdana" w:hAnsi="Verdana"/>
          <w:sz w:val="24"/>
          <w:szCs w:val="24"/>
          <w:lang w:val="en-US"/>
        </w:rPr>
        <w:t>In terms of</w:t>
      </w:r>
      <w:r w:rsidR="004E11A3">
        <w:rPr>
          <w:rFonts w:ascii="Verdana" w:hAnsi="Verdana"/>
          <w:sz w:val="24"/>
          <w:szCs w:val="24"/>
          <w:lang w:val="en-US"/>
        </w:rPr>
        <w:t xml:space="preserve"> a </w:t>
      </w:r>
      <w:r>
        <w:rPr>
          <w:rFonts w:ascii="Verdana" w:hAnsi="Verdana"/>
          <w:sz w:val="24"/>
          <w:szCs w:val="24"/>
          <w:lang w:val="en-US"/>
        </w:rPr>
        <w:t>family settlement of 23</w:t>
      </w:r>
      <w:r w:rsidRPr="00E21495">
        <w:rPr>
          <w:rFonts w:ascii="Verdana" w:hAnsi="Verdana"/>
          <w:sz w:val="24"/>
          <w:szCs w:val="24"/>
          <w:vertAlign w:val="superscript"/>
          <w:lang w:val="en-US"/>
        </w:rPr>
        <w:t>rd</w:t>
      </w:r>
      <w:r>
        <w:rPr>
          <w:rFonts w:ascii="Verdana" w:hAnsi="Verdana"/>
          <w:sz w:val="24"/>
          <w:szCs w:val="24"/>
          <w:lang w:val="en-US"/>
        </w:rPr>
        <w:t xml:space="preserve"> August, 1995, Dr. Kirti Kumar Jain (hereinafter referred to as “Dr. Jain”) who was staying abroad in USA practicing as an Oncologist there, was required to contribute a sum of USD 1, 20, 00,000/-(One Crores Twenty Lakh American dollars) in order to ensure that the family of his deceased </w:t>
      </w:r>
      <w:r w:rsidRPr="00F238AF">
        <w:rPr>
          <w:rFonts w:ascii="Verdana" w:hAnsi="Verdana"/>
          <w:sz w:val="24"/>
          <w:szCs w:val="24"/>
          <w:highlight w:val="yellow"/>
          <w:lang w:val="en-US"/>
        </w:rPr>
        <w:t>younger</w:t>
      </w:r>
      <w:r w:rsidR="00F238AF">
        <w:rPr>
          <w:rFonts w:ascii="Verdana" w:hAnsi="Verdana"/>
          <w:sz w:val="24"/>
          <w:szCs w:val="24"/>
          <w:lang w:val="en-US"/>
        </w:rPr>
        <w:t xml:space="preserve"> </w:t>
      </w:r>
      <w:r w:rsidR="00F238AF" w:rsidRPr="00F238AF">
        <w:rPr>
          <w:rFonts w:ascii="Verdana" w:hAnsi="Verdana"/>
          <w:sz w:val="24"/>
          <w:szCs w:val="24"/>
          <w:highlight w:val="yellow"/>
          <w:lang w:val="en-US"/>
        </w:rPr>
        <w:t>Elder</w:t>
      </w:r>
      <w:r>
        <w:rPr>
          <w:rFonts w:ascii="Verdana" w:hAnsi="Verdana"/>
          <w:sz w:val="24"/>
          <w:szCs w:val="24"/>
          <w:lang w:val="en-US"/>
        </w:rPr>
        <w:t xml:space="preserve"> brother is taken care of suitably. There were other obligations described in the said settlement/partition deed of that day in respect of other members of the family including the assessee, Mrs. Indubala Porwal which </w:t>
      </w:r>
      <w:r w:rsidR="000A343A">
        <w:rPr>
          <w:rFonts w:ascii="Verdana" w:hAnsi="Verdana"/>
          <w:sz w:val="24"/>
          <w:szCs w:val="24"/>
          <w:lang w:val="en-US"/>
        </w:rPr>
        <w:t>is</w:t>
      </w:r>
      <w:r>
        <w:rPr>
          <w:rFonts w:ascii="Verdana" w:hAnsi="Verdana"/>
          <w:sz w:val="24"/>
          <w:szCs w:val="24"/>
          <w:lang w:val="en-US"/>
        </w:rPr>
        <w:t xml:space="preserve"> not being stated herein separately to retain the brevity of the text.</w:t>
      </w:r>
    </w:p>
    <w:p w:rsidR="000A343A" w:rsidRDefault="00E21495" w:rsidP="00F238AF">
      <w:pPr>
        <w:jc w:val="both"/>
        <w:rPr>
          <w:rFonts w:ascii="Verdana" w:hAnsi="Verdana"/>
          <w:sz w:val="24"/>
          <w:szCs w:val="24"/>
          <w:lang w:val="en-US"/>
        </w:rPr>
      </w:pPr>
      <w:r>
        <w:rPr>
          <w:rFonts w:ascii="Verdana" w:hAnsi="Verdana"/>
          <w:sz w:val="24"/>
          <w:szCs w:val="24"/>
          <w:lang w:val="en-US"/>
        </w:rPr>
        <w:t xml:space="preserve">Since, </w:t>
      </w:r>
      <w:r w:rsidR="000A343A">
        <w:rPr>
          <w:rFonts w:ascii="Verdana" w:hAnsi="Verdana"/>
          <w:sz w:val="24"/>
          <w:szCs w:val="24"/>
          <w:lang w:val="en-US"/>
        </w:rPr>
        <w:t xml:space="preserve">Dr. Jain was staying in USA in permanent capacity; he found it convenient for him to ensure such contribution towards the well-being of the surviving members including widow of his deceased </w:t>
      </w:r>
      <w:r w:rsidR="000A343A" w:rsidRPr="00F238AF">
        <w:rPr>
          <w:rFonts w:ascii="Verdana" w:hAnsi="Verdana"/>
          <w:sz w:val="24"/>
          <w:szCs w:val="24"/>
          <w:highlight w:val="yellow"/>
          <w:lang w:val="en-US"/>
        </w:rPr>
        <w:t>younger</w:t>
      </w:r>
      <w:r w:rsidR="00F238AF" w:rsidRPr="00F238AF">
        <w:rPr>
          <w:rFonts w:ascii="Verdana" w:hAnsi="Verdana"/>
          <w:sz w:val="24"/>
          <w:szCs w:val="24"/>
          <w:highlight w:val="yellow"/>
          <w:lang w:val="en-US"/>
        </w:rPr>
        <w:t xml:space="preserve"> elder</w:t>
      </w:r>
      <w:r w:rsidR="000A343A">
        <w:rPr>
          <w:rFonts w:ascii="Verdana" w:hAnsi="Verdana"/>
          <w:sz w:val="24"/>
          <w:szCs w:val="24"/>
          <w:lang w:val="en-US"/>
        </w:rPr>
        <w:t xml:space="preserve"> brother. </w:t>
      </w:r>
    </w:p>
    <w:p w:rsidR="00C9448C" w:rsidRDefault="000A343A" w:rsidP="00F238AF">
      <w:pPr>
        <w:jc w:val="both"/>
        <w:rPr>
          <w:rFonts w:ascii="Verdana" w:hAnsi="Verdana"/>
          <w:sz w:val="24"/>
          <w:szCs w:val="24"/>
          <w:lang w:val="en-US"/>
        </w:rPr>
      </w:pPr>
      <w:r>
        <w:rPr>
          <w:rFonts w:ascii="Verdana" w:hAnsi="Verdana"/>
          <w:sz w:val="24"/>
          <w:szCs w:val="24"/>
          <w:lang w:val="en-US"/>
        </w:rPr>
        <w:t>Mrs. Indubala was advised to contribute a sum of USD 100/- which amount was settled upon a trust by her</w:t>
      </w:r>
      <w:r w:rsidR="00C9448C">
        <w:rPr>
          <w:rFonts w:ascii="Verdana" w:hAnsi="Verdana"/>
          <w:sz w:val="24"/>
          <w:szCs w:val="24"/>
          <w:lang w:val="en-US"/>
        </w:rPr>
        <w:t>. The trust was established</w:t>
      </w:r>
      <w:r>
        <w:rPr>
          <w:rFonts w:ascii="Verdana" w:hAnsi="Verdana"/>
          <w:sz w:val="24"/>
          <w:szCs w:val="24"/>
          <w:lang w:val="en-US"/>
        </w:rPr>
        <w:t xml:space="preserve"> by way of an instrument</w:t>
      </w:r>
      <w:r w:rsidR="00A42291">
        <w:rPr>
          <w:rFonts w:ascii="Verdana" w:hAnsi="Verdana"/>
          <w:sz w:val="24"/>
          <w:szCs w:val="24"/>
          <w:lang w:val="en-US"/>
        </w:rPr>
        <w:t xml:space="preserve"> of trust</w:t>
      </w:r>
      <w:r>
        <w:rPr>
          <w:rFonts w:ascii="Verdana" w:hAnsi="Verdana"/>
          <w:sz w:val="24"/>
          <w:szCs w:val="24"/>
          <w:lang w:val="en-US"/>
        </w:rPr>
        <w:t xml:space="preserve"> in writing under the guidance, advice and </w:t>
      </w:r>
      <w:r>
        <w:rPr>
          <w:rFonts w:ascii="Verdana" w:hAnsi="Verdana"/>
          <w:sz w:val="24"/>
          <w:szCs w:val="24"/>
          <w:lang w:val="en-US"/>
        </w:rPr>
        <w:lastRenderedPageBreak/>
        <w:t>supervision of</w:t>
      </w:r>
      <w:r w:rsidR="00A42291">
        <w:rPr>
          <w:rFonts w:ascii="Verdana" w:hAnsi="Verdana"/>
          <w:sz w:val="24"/>
          <w:szCs w:val="24"/>
          <w:lang w:val="en-US"/>
        </w:rPr>
        <w:t xml:space="preserve"> Mourant du Feu &amp; Jeune, Advocates, Solicitors &amp; Notaries Public P. O. Box 87, 22, Grenville Street, St. Helier, Jersey, JE 4 8PX, Channel Islands under the name and style of “The</w:t>
      </w:r>
      <w:r w:rsidR="00C9448C">
        <w:rPr>
          <w:rFonts w:ascii="Verdana" w:hAnsi="Verdana"/>
          <w:sz w:val="24"/>
          <w:szCs w:val="24"/>
          <w:lang w:val="en-US"/>
        </w:rPr>
        <w:t xml:space="preserve"> </w:t>
      </w:r>
      <w:r w:rsidR="00A42291">
        <w:rPr>
          <w:rFonts w:ascii="Verdana" w:hAnsi="Verdana"/>
          <w:sz w:val="24"/>
          <w:szCs w:val="24"/>
          <w:lang w:val="en-US"/>
        </w:rPr>
        <w:t>BWR Trust” on 22</w:t>
      </w:r>
      <w:r w:rsidR="00A42291" w:rsidRPr="00A42291">
        <w:rPr>
          <w:rFonts w:ascii="Verdana" w:hAnsi="Verdana"/>
          <w:sz w:val="24"/>
          <w:szCs w:val="24"/>
          <w:vertAlign w:val="superscript"/>
          <w:lang w:val="en-US"/>
        </w:rPr>
        <w:t>nd</w:t>
      </w:r>
      <w:r w:rsidR="00A42291">
        <w:rPr>
          <w:rFonts w:ascii="Verdana" w:hAnsi="Verdana"/>
          <w:sz w:val="24"/>
          <w:szCs w:val="24"/>
          <w:lang w:val="en-US"/>
        </w:rPr>
        <w:t xml:space="preserve"> February, 2000.</w:t>
      </w:r>
    </w:p>
    <w:p w:rsidR="00C64154" w:rsidRDefault="00C9448C" w:rsidP="00F238AF">
      <w:pPr>
        <w:jc w:val="both"/>
        <w:rPr>
          <w:rFonts w:ascii="Verdana" w:hAnsi="Verdana"/>
          <w:sz w:val="24"/>
          <w:szCs w:val="24"/>
          <w:lang w:val="en-US"/>
        </w:rPr>
      </w:pPr>
      <w:r>
        <w:rPr>
          <w:rFonts w:ascii="Verdana" w:hAnsi="Verdana"/>
          <w:sz w:val="24"/>
          <w:szCs w:val="24"/>
          <w:lang w:val="en-US"/>
        </w:rPr>
        <w:t>Accounts of the Trust for the period 22</w:t>
      </w:r>
      <w:r w:rsidRPr="00C9448C">
        <w:rPr>
          <w:rFonts w:ascii="Verdana" w:hAnsi="Verdana"/>
          <w:sz w:val="24"/>
          <w:szCs w:val="24"/>
          <w:vertAlign w:val="superscript"/>
          <w:lang w:val="en-US"/>
        </w:rPr>
        <w:t>nd</w:t>
      </w:r>
      <w:r>
        <w:rPr>
          <w:rFonts w:ascii="Verdana" w:hAnsi="Verdana"/>
          <w:sz w:val="24"/>
          <w:szCs w:val="24"/>
          <w:lang w:val="en-US"/>
        </w:rPr>
        <w:t xml:space="preserve"> February, 2000 to 31</w:t>
      </w:r>
      <w:r w:rsidRPr="00C9448C">
        <w:rPr>
          <w:rFonts w:ascii="Verdana" w:hAnsi="Verdana"/>
          <w:sz w:val="24"/>
          <w:szCs w:val="24"/>
          <w:vertAlign w:val="superscript"/>
          <w:lang w:val="en-US"/>
        </w:rPr>
        <w:t>st</w:t>
      </w:r>
      <w:r>
        <w:rPr>
          <w:rFonts w:ascii="Verdana" w:hAnsi="Verdana"/>
          <w:sz w:val="24"/>
          <w:szCs w:val="24"/>
          <w:lang w:val="en-US"/>
        </w:rPr>
        <w:t xml:space="preserve"> December, 2002 which </w:t>
      </w:r>
      <w:r w:rsidR="002340AC">
        <w:rPr>
          <w:rFonts w:ascii="Verdana" w:hAnsi="Verdana"/>
          <w:sz w:val="24"/>
          <w:szCs w:val="24"/>
          <w:lang w:val="en-US"/>
        </w:rPr>
        <w:t>is</w:t>
      </w:r>
      <w:r>
        <w:rPr>
          <w:rFonts w:ascii="Verdana" w:hAnsi="Verdana"/>
          <w:sz w:val="24"/>
          <w:szCs w:val="24"/>
          <w:lang w:val="en-US"/>
        </w:rPr>
        <w:t xml:space="preserve"> available on records of the case testifies these facts without any dispute. These accounts also show an addi</w:t>
      </w:r>
      <w:r w:rsidR="00F238AF">
        <w:rPr>
          <w:rFonts w:ascii="Verdana" w:hAnsi="Verdana"/>
          <w:sz w:val="24"/>
          <w:szCs w:val="24"/>
          <w:lang w:val="en-US"/>
        </w:rPr>
        <w:t>tional settled funds of USD 72,</w:t>
      </w:r>
      <w:r>
        <w:rPr>
          <w:rFonts w:ascii="Verdana" w:hAnsi="Verdana"/>
          <w:sz w:val="24"/>
          <w:szCs w:val="24"/>
          <w:lang w:val="en-US"/>
        </w:rPr>
        <w:t>73,163/- wh</w:t>
      </w:r>
      <w:r w:rsidR="00F238AF">
        <w:rPr>
          <w:rFonts w:ascii="Verdana" w:hAnsi="Verdana"/>
          <w:sz w:val="24"/>
          <w:szCs w:val="24"/>
          <w:lang w:val="en-US"/>
        </w:rPr>
        <w:t>ich is part of a sum of USD 72,</w:t>
      </w:r>
      <w:r>
        <w:rPr>
          <w:rFonts w:ascii="Verdana" w:hAnsi="Verdana"/>
          <w:sz w:val="24"/>
          <w:szCs w:val="24"/>
          <w:lang w:val="en-US"/>
        </w:rPr>
        <w:t>49,522/- being loan receivable from another corporate entity, M/s Vibrant Properties Ltd., having its registered office at Tropic Isle Building, P. O. Box 438, Road Town, Tortola, British Virgin Islands. The said company was incorporated on 4</w:t>
      </w:r>
      <w:r w:rsidRPr="00C9448C">
        <w:rPr>
          <w:rFonts w:ascii="Verdana" w:hAnsi="Verdana"/>
          <w:sz w:val="24"/>
          <w:szCs w:val="24"/>
          <w:vertAlign w:val="superscript"/>
          <w:lang w:val="en-US"/>
        </w:rPr>
        <w:t>th</w:t>
      </w:r>
      <w:r>
        <w:rPr>
          <w:rFonts w:ascii="Verdana" w:hAnsi="Verdana"/>
          <w:sz w:val="24"/>
          <w:szCs w:val="24"/>
          <w:lang w:val="en-US"/>
        </w:rPr>
        <w:t xml:space="preserve"> January, 2000 by the subscriber M/s </w:t>
      </w:r>
      <w:r w:rsidR="00412816">
        <w:rPr>
          <w:rFonts w:ascii="Verdana" w:hAnsi="Verdana"/>
          <w:sz w:val="24"/>
          <w:szCs w:val="24"/>
          <w:lang w:val="en-US"/>
        </w:rPr>
        <w:t>Insinger Corporate Services (BVI) Ltd of British Virgin Islands who appointed two directors being the first directors of the Company in (1) Picadilly Directors Ltd, and (2) Dialogue Directors Ltd. Al</w:t>
      </w:r>
      <w:r w:rsidR="009C46B7">
        <w:rPr>
          <w:rFonts w:ascii="Verdana" w:hAnsi="Verdana"/>
          <w:sz w:val="24"/>
          <w:szCs w:val="24"/>
          <w:lang w:val="en-US"/>
        </w:rPr>
        <w:t>l</w:t>
      </w:r>
      <w:r w:rsidR="00412816">
        <w:rPr>
          <w:rFonts w:ascii="Verdana" w:hAnsi="Verdana"/>
          <w:sz w:val="24"/>
          <w:szCs w:val="24"/>
          <w:lang w:val="en-US"/>
        </w:rPr>
        <w:t xml:space="preserve"> these acts were done in terms of local laws pr</w:t>
      </w:r>
      <w:r w:rsidR="00F238AF">
        <w:rPr>
          <w:rFonts w:ascii="Verdana" w:hAnsi="Verdana"/>
          <w:sz w:val="24"/>
          <w:szCs w:val="24"/>
          <w:lang w:val="en-US"/>
        </w:rPr>
        <w:t xml:space="preserve">evailing in these jurisdictions and </w:t>
      </w:r>
      <w:r w:rsidR="00F238AF" w:rsidRPr="00F238AF">
        <w:rPr>
          <w:rFonts w:ascii="Verdana" w:hAnsi="Verdana"/>
          <w:sz w:val="24"/>
          <w:szCs w:val="24"/>
          <w:highlight w:val="yellow"/>
          <w:lang w:val="en-US"/>
        </w:rPr>
        <w:t>Vibrant Properties Limited is wholly owned and controlled by BWR Trust.</w:t>
      </w:r>
      <w:r w:rsidR="00412816">
        <w:rPr>
          <w:rFonts w:ascii="Verdana" w:hAnsi="Verdana"/>
          <w:sz w:val="24"/>
          <w:szCs w:val="24"/>
          <w:lang w:val="en-US"/>
        </w:rPr>
        <w:t xml:space="preserve"> The accounts of M/s Vibrant Properties Ltd for the period 4</w:t>
      </w:r>
      <w:r w:rsidR="00412816" w:rsidRPr="00412816">
        <w:rPr>
          <w:rFonts w:ascii="Verdana" w:hAnsi="Verdana"/>
          <w:sz w:val="24"/>
          <w:szCs w:val="24"/>
          <w:vertAlign w:val="superscript"/>
          <w:lang w:val="en-US"/>
        </w:rPr>
        <w:t>th</w:t>
      </w:r>
      <w:r w:rsidR="00412816">
        <w:rPr>
          <w:rFonts w:ascii="Verdana" w:hAnsi="Verdana"/>
          <w:sz w:val="24"/>
          <w:szCs w:val="24"/>
          <w:lang w:val="en-US"/>
        </w:rPr>
        <w:t xml:space="preserve"> January, 2000 to 31</w:t>
      </w:r>
      <w:r w:rsidR="00412816" w:rsidRPr="00412816">
        <w:rPr>
          <w:rFonts w:ascii="Verdana" w:hAnsi="Verdana"/>
          <w:sz w:val="24"/>
          <w:szCs w:val="24"/>
          <w:vertAlign w:val="superscript"/>
          <w:lang w:val="en-US"/>
        </w:rPr>
        <w:t>st</w:t>
      </w:r>
      <w:r w:rsidR="00412816">
        <w:rPr>
          <w:rFonts w:ascii="Verdana" w:hAnsi="Verdana"/>
          <w:sz w:val="24"/>
          <w:szCs w:val="24"/>
          <w:lang w:val="en-US"/>
        </w:rPr>
        <w:t xml:space="preserve"> December, 2002 show under the head “Loan Payable” two sums in the names of (1) The BWR Trust, and (2) Dr. Kirti Kumar Jain and the amounts are shown at USD 72, 49,522/- and USD 4, 24,940/- re</w:t>
      </w:r>
      <w:r w:rsidR="00C64154">
        <w:rPr>
          <w:rFonts w:ascii="Verdana" w:hAnsi="Verdana"/>
          <w:sz w:val="24"/>
          <w:szCs w:val="24"/>
          <w:lang w:val="en-US"/>
        </w:rPr>
        <w:t>spectively.</w:t>
      </w:r>
      <w:r w:rsidR="00412816">
        <w:rPr>
          <w:rFonts w:ascii="Verdana" w:hAnsi="Verdana"/>
          <w:sz w:val="24"/>
          <w:szCs w:val="24"/>
          <w:lang w:val="en-US"/>
        </w:rPr>
        <w:t xml:space="preserve"> The accounts for the period forms part of the records of the case. </w:t>
      </w:r>
      <w:r>
        <w:rPr>
          <w:rFonts w:ascii="Verdana" w:hAnsi="Verdana"/>
          <w:sz w:val="24"/>
          <w:szCs w:val="24"/>
          <w:lang w:val="en-US"/>
        </w:rPr>
        <w:t xml:space="preserve"> </w:t>
      </w:r>
      <w:r w:rsidR="000A343A">
        <w:rPr>
          <w:rFonts w:ascii="Verdana" w:hAnsi="Verdana"/>
          <w:sz w:val="24"/>
          <w:szCs w:val="24"/>
          <w:lang w:val="en-US"/>
        </w:rPr>
        <w:t xml:space="preserve"> </w:t>
      </w:r>
      <w:r w:rsidR="00A42291">
        <w:rPr>
          <w:rFonts w:ascii="Verdana" w:hAnsi="Verdana"/>
          <w:sz w:val="24"/>
          <w:szCs w:val="24"/>
          <w:lang w:val="en-US"/>
        </w:rPr>
        <w:t xml:space="preserve"> </w:t>
      </w:r>
      <w:r w:rsidR="000A343A">
        <w:rPr>
          <w:rFonts w:ascii="Verdana" w:hAnsi="Verdana"/>
          <w:sz w:val="24"/>
          <w:szCs w:val="24"/>
          <w:lang w:val="en-US"/>
        </w:rPr>
        <w:t xml:space="preserve"> </w:t>
      </w:r>
      <w:r w:rsidR="00E21495">
        <w:rPr>
          <w:rFonts w:ascii="Verdana" w:hAnsi="Verdana"/>
          <w:sz w:val="24"/>
          <w:szCs w:val="24"/>
          <w:lang w:val="en-US"/>
        </w:rPr>
        <w:t xml:space="preserve"> </w:t>
      </w:r>
      <w:r w:rsidR="00A42291">
        <w:rPr>
          <w:rFonts w:ascii="Verdana" w:hAnsi="Verdana"/>
          <w:sz w:val="24"/>
          <w:szCs w:val="24"/>
          <w:lang w:val="en-US"/>
        </w:rPr>
        <w:t xml:space="preserve">      </w:t>
      </w:r>
    </w:p>
    <w:p w:rsidR="009C46B7" w:rsidRDefault="00C64154" w:rsidP="00F238AF">
      <w:pPr>
        <w:jc w:val="both"/>
        <w:rPr>
          <w:rFonts w:ascii="Verdana" w:hAnsi="Verdana"/>
          <w:sz w:val="24"/>
          <w:szCs w:val="24"/>
          <w:lang w:val="en-US"/>
        </w:rPr>
      </w:pPr>
      <w:r>
        <w:rPr>
          <w:rFonts w:ascii="Verdana" w:hAnsi="Verdana"/>
          <w:sz w:val="24"/>
          <w:szCs w:val="24"/>
          <w:lang w:val="en-US"/>
        </w:rPr>
        <w:t>It may be pertinent to mention here that it is the claim of Dr. Jain</w:t>
      </w:r>
      <w:r w:rsidR="00E40EE4">
        <w:rPr>
          <w:rFonts w:ascii="Verdana" w:hAnsi="Verdana"/>
          <w:sz w:val="24"/>
          <w:szCs w:val="24"/>
          <w:lang w:val="en-US"/>
        </w:rPr>
        <w:t>,</w:t>
      </w:r>
      <w:r w:rsidR="00283478">
        <w:rPr>
          <w:rFonts w:ascii="Verdana" w:hAnsi="Verdana"/>
          <w:sz w:val="24"/>
          <w:szCs w:val="24"/>
          <w:lang w:val="en-US"/>
        </w:rPr>
        <w:t xml:space="preserve"> who incidentally happens to be brother-in-law of the </w:t>
      </w:r>
      <w:r w:rsidR="00E40EE4">
        <w:rPr>
          <w:rFonts w:ascii="Verdana" w:hAnsi="Verdana"/>
          <w:sz w:val="24"/>
          <w:szCs w:val="24"/>
          <w:lang w:val="en-US"/>
        </w:rPr>
        <w:t>assessee, that</w:t>
      </w:r>
      <w:r>
        <w:rPr>
          <w:rFonts w:ascii="Verdana" w:hAnsi="Verdana"/>
          <w:sz w:val="24"/>
          <w:szCs w:val="24"/>
          <w:lang w:val="en-US"/>
        </w:rPr>
        <w:t xml:space="preserve"> </w:t>
      </w:r>
      <w:r w:rsidR="00B92985">
        <w:rPr>
          <w:rFonts w:ascii="Verdana" w:hAnsi="Verdana"/>
          <w:sz w:val="24"/>
          <w:szCs w:val="24"/>
          <w:lang w:val="en-US"/>
        </w:rPr>
        <w:t xml:space="preserve">he paid approximately 7.2 million USD over a period of time from 2000 to 2002 from his NRE bank account in India with Amex Bank (American Express Bank, now Standard Chartered Bank) and Citibank. It is </w:t>
      </w:r>
      <w:r w:rsidR="009C46B7">
        <w:rPr>
          <w:rFonts w:ascii="Verdana" w:hAnsi="Verdana"/>
          <w:sz w:val="24"/>
          <w:szCs w:val="24"/>
          <w:lang w:val="en-US"/>
        </w:rPr>
        <w:t>also</w:t>
      </w:r>
      <w:r w:rsidR="00B92985">
        <w:rPr>
          <w:rFonts w:ascii="Verdana" w:hAnsi="Verdana"/>
          <w:sz w:val="24"/>
          <w:szCs w:val="24"/>
          <w:lang w:val="en-US"/>
        </w:rPr>
        <w:t xml:space="preserve"> the claim of Dr. Jain that the said money was paid from hi</w:t>
      </w:r>
      <w:r w:rsidR="009C46B7">
        <w:rPr>
          <w:rFonts w:ascii="Verdana" w:hAnsi="Verdana"/>
          <w:sz w:val="24"/>
          <w:szCs w:val="24"/>
          <w:lang w:val="en-US"/>
        </w:rPr>
        <w:t>s NRE bank Account in India to the</w:t>
      </w:r>
      <w:r w:rsidR="00B92985">
        <w:rPr>
          <w:rFonts w:ascii="Verdana" w:hAnsi="Verdana"/>
          <w:sz w:val="24"/>
          <w:szCs w:val="24"/>
          <w:lang w:val="en-US"/>
        </w:rPr>
        <w:t xml:space="preserve"> BWR Trust owned Company named Vibrant Properties Ltd</w:t>
      </w:r>
      <w:r w:rsidR="00283478">
        <w:rPr>
          <w:rFonts w:ascii="Verdana" w:hAnsi="Verdana"/>
          <w:sz w:val="24"/>
          <w:szCs w:val="24"/>
          <w:lang w:val="en-US"/>
        </w:rPr>
        <w:t>.</w:t>
      </w:r>
    </w:p>
    <w:p w:rsidR="009C46B7" w:rsidRDefault="009C46B7" w:rsidP="00F238AF">
      <w:pPr>
        <w:jc w:val="both"/>
        <w:rPr>
          <w:rFonts w:ascii="Verdana" w:hAnsi="Verdana"/>
          <w:sz w:val="24"/>
          <w:szCs w:val="24"/>
          <w:lang w:val="en-US"/>
        </w:rPr>
      </w:pPr>
      <w:r>
        <w:rPr>
          <w:rFonts w:ascii="Verdana" w:hAnsi="Verdana"/>
          <w:sz w:val="24"/>
          <w:szCs w:val="24"/>
          <w:lang w:val="en-US"/>
        </w:rPr>
        <w:t xml:space="preserve">If one goes through the accounts of M/s Vibrant Properties Ltd, the facts stated by Dr. Jain get confirmed. </w:t>
      </w:r>
    </w:p>
    <w:p w:rsidR="00767824" w:rsidRDefault="009C46B7" w:rsidP="00F238AF">
      <w:pPr>
        <w:jc w:val="both"/>
        <w:rPr>
          <w:rFonts w:ascii="Verdana" w:hAnsi="Verdana"/>
          <w:sz w:val="24"/>
          <w:szCs w:val="24"/>
          <w:lang w:val="en-US"/>
        </w:rPr>
      </w:pPr>
      <w:r>
        <w:rPr>
          <w:rFonts w:ascii="Verdana" w:hAnsi="Verdana"/>
          <w:sz w:val="24"/>
          <w:szCs w:val="24"/>
          <w:lang w:val="en-US"/>
        </w:rPr>
        <w:t>On a plain reading of the trust deed dated 22</w:t>
      </w:r>
      <w:r w:rsidRPr="009C46B7">
        <w:rPr>
          <w:rFonts w:ascii="Verdana" w:hAnsi="Verdana"/>
          <w:sz w:val="24"/>
          <w:szCs w:val="24"/>
          <w:vertAlign w:val="superscript"/>
          <w:lang w:val="en-US"/>
        </w:rPr>
        <w:t>nd</w:t>
      </w:r>
      <w:r>
        <w:rPr>
          <w:rFonts w:ascii="Verdana" w:hAnsi="Verdana"/>
          <w:sz w:val="24"/>
          <w:szCs w:val="24"/>
          <w:lang w:val="en-US"/>
        </w:rPr>
        <w:t xml:space="preserve"> February, 2000, it is noticeable that the Deed is divided in four parts, A, B, C, &amp; D. </w:t>
      </w:r>
      <w:r w:rsidRPr="002340AC">
        <w:rPr>
          <w:rFonts w:ascii="Verdana" w:hAnsi="Verdana"/>
          <w:b/>
          <w:sz w:val="24"/>
          <w:szCs w:val="24"/>
          <w:u w:val="single"/>
          <w:lang w:val="en-US"/>
        </w:rPr>
        <w:t>Part- A</w:t>
      </w:r>
      <w:r>
        <w:rPr>
          <w:rFonts w:ascii="Verdana" w:hAnsi="Verdana"/>
          <w:sz w:val="24"/>
          <w:szCs w:val="24"/>
          <w:lang w:val="en-US"/>
        </w:rPr>
        <w:t xml:space="preserve"> contains definitions and important ones are of (1)</w:t>
      </w:r>
      <w:r w:rsidR="008102A7">
        <w:rPr>
          <w:rFonts w:ascii="Verdana" w:hAnsi="Verdana"/>
          <w:sz w:val="24"/>
          <w:szCs w:val="24"/>
          <w:lang w:val="en-US"/>
        </w:rPr>
        <w:t xml:space="preserve">beneficiaries, (2) Charitable purposes, (3) Prescribed consent, (4) prescribed direction, (5) Protector (6) trust, (7) trust fund, &amp; (8) trust period. In this part- A, the manner in which the property may be appointed or applied is provided along with how the trustees shall be </w:t>
      </w:r>
      <w:r w:rsidR="005D7EF0">
        <w:rPr>
          <w:rFonts w:ascii="Verdana" w:hAnsi="Verdana"/>
          <w:sz w:val="24"/>
          <w:szCs w:val="24"/>
          <w:lang w:val="en-US"/>
        </w:rPr>
        <w:t>appointed,</w:t>
      </w:r>
      <w:r w:rsidR="008102A7">
        <w:rPr>
          <w:rFonts w:ascii="Verdana" w:hAnsi="Verdana"/>
          <w:sz w:val="24"/>
          <w:szCs w:val="24"/>
          <w:lang w:val="en-US"/>
        </w:rPr>
        <w:t xml:space="preserve"> their liabilities, </w:t>
      </w:r>
      <w:r w:rsidR="005D7EF0">
        <w:rPr>
          <w:rFonts w:ascii="Verdana" w:hAnsi="Verdana"/>
          <w:sz w:val="24"/>
          <w:szCs w:val="24"/>
          <w:lang w:val="en-US"/>
        </w:rPr>
        <w:t>remuneration</w:t>
      </w:r>
      <w:r w:rsidR="004110FA">
        <w:rPr>
          <w:rFonts w:ascii="Verdana" w:hAnsi="Verdana"/>
          <w:sz w:val="24"/>
          <w:szCs w:val="24"/>
          <w:lang w:val="en-US"/>
        </w:rPr>
        <w:t>,</w:t>
      </w:r>
      <w:r w:rsidR="008102A7">
        <w:rPr>
          <w:rFonts w:ascii="Verdana" w:hAnsi="Verdana"/>
          <w:sz w:val="24"/>
          <w:szCs w:val="24"/>
          <w:lang w:val="en-US"/>
        </w:rPr>
        <w:t xml:space="preserve"> Powers and immunities.</w:t>
      </w:r>
      <w:r w:rsidR="004110FA">
        <w:rPr>
          <w:rFonts w:ascii="Verdana" w:hAnsi="Verdana"/>
          <w:sz w:val="24"/>
          <w:szCs w:val="24"/>
          <w:lang w:val="en-US"/>
        </w:rPr>
        <w:t xml:space="preserve"> </w:t>
      </w:r>
      <w:r w:rsidR="004110FA" w:rsidRPr="002340AC">
        <w:rPr>
          <w:rFonts w:ascii="Verdana" w:hAnsi="Verdana"/>
          <w:b/>
          <w:sz w:val="24"/>
          <w:szCs w:val="24"/>
          <w:u w:val="single"/>
          <w:lang w:val="en-US"/>
        </w:rPr>
        <w:t>Part- B</w:t>
      </w:r>
      <w:r w:rsidR="004110FA">
        <w:rPr>
          <w:rFonts w:ascii="Verdana" w:hAnsi="Verdana"/>
          <w:sz w:val="24"/>
          <w:szCs w:val="24"/>
          <w:lang w:val="en-US"/>
        </w:rPr>
        <w:t xml:space="preserve"> of the trust Deed provides </w:t>
      </w:r>
      <w:r w:rsidR="004110FA">
        <w:rPr>
          <w:rFonts w:ascii="Verdana" w:hAnsi="Verdana"/>
          <w:sz w:val="24"/>
          <w:szCs w:val="24"/>
          <w:lang w:val="en-US"/>
        </w:rPr>
        <w:lastRenderedPageBreak/>
        <w:t xml:space="preserve">discretionary power to the trustees for investment of trust monies and other financial obligations. </w:t>
      </w:r>
      <w:r w:rsidR="004110FA" w:rsidRPr="002340AC">
        <w:rPr>
          <w:rFonts w:ascii="Verdana" w:hAnsi="Verdana"/>
          <w:b/>
          <w:sz w:val="24"/>
          <w:szCs w:val="24"/>
          <w:u w:val="single"/>
          <w:lang w:val="en-US"/>
        </w:rPr>
        <w:t>Part- C</w:t>
      </w:r>
      <w:r w:rsidR="004110FA">
        <w:rPr>
          <w:rFonts w:ascii="Verdana" w:hAnsi="Verdana"/>
          <w:sz w:val="24"/>
          <w:szCs w:val="24"/>
          <w:lang w:val="en-US"/>
        </w:rPr>
        <w:t xml:space="preserve"> includes date of the instrument coming in effect, original trustees, name of the settlor, </w:t>
      </w:r>
      <w:r w:rsidR="00767824">
        <w:rPr>
          <w:rFonts w:ascii="Verdana" w:hAnsi="Verdana"/>
          <w:sz w:val="24"/>
          <w:szCs w:val="24"/>
          <w:lang w:val="en-US"/>
        </w:rPr>
        <w:t>i</w:t>
      </w:r>
      <w:r w:rsidR="004110FA">
        <w:rPr>
          <w:rFonts w:ascii="Verdana" w:hAnsi="Verdana"/>
          <w:sz w:val="24"/>
          <w:szCs w:val="24"/>
          <w:lang w:val="en-US"/>
        </w:rPr>
        <w:t xml:space="preserve">nitial property of USD 100/- devolved upon the trust, its name, beneficiaries and the first protector. Among beneficiaries are included (1) the issues of the Settlor, of the First protector and the trust, association, body or other organization in any part of the world the objects of which are charitable. Interestingly, Dr. Jain is shown as the First Protector. </w:t>
      </w:r>
      <w:r w:rsidR="004110FA" w:rsidRPr="002340AC">
        <w:rPr>
          <w:rFonts w:ascii="Verdana" w:hAnsi="Verdana"/>
          <w:b/>
          <w:sz w:val="24"/>
          <w:szCs w:val="24"/>
          <w:u w:val="single"/>
          <w:lang w:val="en-US"/>
        </w:rPr>
        <w:t>Part- D</w:t>
      </w:r>
      <w:r w:rsidR="004110FA">
        <w:rPr>
          <w:rFonts w:ascii="Verdana" w:hAnsi="Verdana"/>
          <w:sz w:val="24"/>
          <w:szCs w:val="24"/>
          <w:lang w:val="en-US"/>
        </w:rPr>
        <w:t xml:space="preserve"> of the trust deed contains </w:t>
      </w:r>
      <w:r w:rsidR="00E23E6E">
        <w:rPr>
          <w:rFonts w:ascii="Verdana" w:hAnsi="Verdana"/>
          <w:sz w:val="24"/>
          <w:szCs w:val="24"/>
          <w:lang w:val="en-US"/>
        </w:rPr>
        <w:t xml:space="preserve">detailed provisions regarding the Protector. Among these provisions, important provisions are given in </w:t>
      </w:r>
      <w:r w:rsidR="00E23E6E" w:rsidRPr="002340AC">
        <w:rPr>
          <w:rFonts w:ascii="Verdana" w:hAnsi="Verdana"/>
          <w:b/>
          <w:sz w:val="24"/>
          <w:szCs w:val="24"/>
          <w:u w:val="single"/>
          <w:lang w:val="en-US"/>
        </w:rPr>
        <w:t>Clause D1.10</w:t>
      </w:r>
      <w:r w:rsidR="00E23E6E">
        <w:rPr>
          <w:rFonts w:ascii="Verdana" w:hAnsi="Verdana"/>
          <w:sz w:val="24"/>
          <w:szCs w:val="24"/>
          <w:lang w:val="en-US"/>
        </w:rPr>
        <w:t xml:space="preserve"> which creates an obligation upon the trustees to act in reliance on any instrument notice prescribed consent or prescribed direction purporting to have been signed by the protector and to assume without any further enquiry that protector was capable of acting when he executed any instrument or notice or gave any consent or direction</w:t>
      </w:r>
      <w:r w:rsidR="00767824">
        <w:rPr>
          <w:rFonts w:ascii="Verdana" w:hAnsi="Verdana"/>
          <w:sz w:val="24"/>
          <w:szCs w:val="24"/>
          <w:lang w:val="en-US"/>
        </w:rPr>
        <w:t xml:space="preserve"> and that the same was a proper exercise of the Protector’s discretion. Such a provision would thus override even the discretion of the trustees once </w:t>
      </w:r>
      <w:r w:rsidR="0030746F">
        <w:rPr>
          <w:rFonts w:ascii="Verdana" w:hAnsi="Verdana"/>
          <w:sz w:val="24"/>
          <w:szCs w:val="24"/>
          <w:lang w:val="en-US"/>
        </w:rPr>
        <w:t>consent</w:t>
      </w:r>
      <w:r w:rsidR="00767824">
        <w:rPr>
          <w:rFonts w:ascii="Verdana" w:hAnsi="Verdana"/>
          <w:sz w:val="24"/>
          <w:szCs w:val="24"/>
          <w:lang w:val="en-US"/>
        </w:rPr>
        <w:t xml:space="preserve"> or a direction is given by the Protector.</w:t>
      </w:r>
    </w:p>
    <w:p w:rsidR="005D17CB" w:rsidRDefault="00767824" w:rsidP="00F238AF">
      <w:pPr>
        <w:jc w:val="both"/>
        <w:rPr>
          <w:rFonts w:ascii="Verdana" w:hAnsi="Verdana"/>
          <w:sz w:val="24"/>
          <w:szCs w:val="24"/>
          <w:lang w:val="en-US"/>
        </w:rPr>
      </w:pPr>
      <w:r>
        <w:rPr>
          <w:rFonts w:ascii="Verdana" w:hAnsi="Verdana"/>
          <w:sz w:val="24"/>
          <w:szCs w:val="24"/>
          <w:lang w:val="en-US"/>
        </w:rPr>
        <w:t>The overall framework of the instrument of the Trust including recitals as stated above on a fair, reasonable and harmonious interpretation will establish that an offshore irrevocable discretionary trust was settled on 22</w:t>
      </w:r>
      <w:r w:rsidRPr="00767824">
        <w:rPr>
          <w:rFonts w:ascii="Verdana" w:hAnsi="Verdana"/>
          <w:sz w:val="24"/>
          <w:szCs w:val="24"/>
          <w:vertAlign w:val="superscript"/>
          <w:lang w:val="en-US"/>
        </w:rPr>
        <w:t>nd</w:t>
      </w:r>
      <w:r>
        <w:rPr>
          <w:rFonts w:ascii="Verdana" w:hAnsi="Verdana"/>
          <w:sz w:val="24"/>
          <w:szCs w:val="24"/>
          <w:lang w:val="en-US"/>
        </w:rPr>
        <w:t xml:space="preserve"> February, 2000 in relation to private assets, being USD 100/- of the settlor and the protector </w:t>
      </w:r>
      <w:r w:rsidRPr="00A03B28">
        <w:rPr>
          <w:rFonts w:ascii="Verdana" w:hAnsi="Verdana"/>
          <w:color w:val="FF0000"/>
          <w:sz w:val="24"/>
          <w:szCs w:val="24"/>
          <w:highlight w:val="yellow"/>
          <w:lang w:val="en-US"/>
        </w:rPr>
        <w:t>for the</w:t>
      </w:r>
      <w:r w:rsidR="00F640E7" w:rsidRPr="00A03B28">
        <w:rPr>
          <w:rFonts w:ascii="Verdana" w:hAnsi="Verdana"/>
          <w:color w:val="FF0000"/>
          <w:sz w:val="24"/>
          <w:szCs w:val="24"/>
          <w:highlight w:val="yellow"/>
          <w:lang w:val="en-US"/>
        </w:rPr>
        <w:t xml:space="preserve"> benefit of the</w:t>
      </w:r>
      <w:r w:rsidRPr="00A03B28">
        <w:rPr>
          <w:rFonts w:ascii="Verdana" w:hAnsi="Verdana"/>
          <w:color w:val="FF0000"/>
          <w:sz w:val="24"/>
          <w:szCs w:val="24"/>
          <w:highlight w:val="yellow"/>
          <w:lang w:val="en-US"/>
        </w:rPr>
        <w:t xml:space="preserve"> issues of the settlor and the protector as beneficiaries</w:t>
      </w:r>
      <w:r>
        <w:rPr>
          <w:rFonts w:ascii="Verdana" w:hAnsi="Verdana"/>
          <w:sz w:val="24"/>
          <w:szCs w:val="24"/>
          <w:lang w:val="en-US"/>
        </w:rPr>
        <w:t>. The protector was obligated to contribute in a substantial manner to the trust fund in accordance with the family settlement of the year 1995. Dr. Jain being the protector contributed major part of the trust fund during the period from 2000 to 2002</w:t>
      </w:r>
      <w:r w:rsidR="005D17CB">
        <w:rPr>
          <w:rFonts w:ascii="Verdana" w:hAnsi="Verdana"/>
          <w:sz w:val="24"/>
          <w:szCs w:val="24"/>
          <w:lang w:val="en-US"/>
        </w:rPr>
        <w:t xml:space="preserve"> by transferring 7.2 million USD from his NRE account kept in India with American Express Bank and Citibank which has been affirmed by him.</w:t>
      </w:r>
      <w:r w:rsidR="00F640E7">
        <w:rPr>
          <w:rFonts w:ascii="Verdana" w:hAnsi="Verdana"/>
          <w:sz w:val="24"/>
          <w:szCs w:val="24"/>
          <w:lang w:val="en-US"/>
        </w:rPr>
        <w:t xml:space="preserve"> An affirmation to this effect was filed with the learned AO and the same is being now supplemented by an affidavit duly sworn on oath.</w:t>
      </w:r>
    </w:p>
    <w:p w:rsidR="005D17CB" w:rsidRDefault="005D17CB" w:rsidP="00F238AF">
      <w:pPr>
        <w:jc w:val="both"/>
        <w:rPr>
          <w:rFonts w:ascii="Verdana" w:hAnsi="Verdana"/>
          <w:sz w:val="24"/>
          <w:szCs w:val="24"/>
          <w:lang w:val="en-US"/>
        </w:rPr>
      </w:pPr>
      <w:r>
        <w:rPr>
          <w:rFonts w:ascii="Verdana" w:hAnsi="Verdana"/>
          <w:sz w:val="24"/>
          <w:szCs w:val="24"/>
          <w:lang w:val="en-US"/>
        </w:rPr>
        <w:t>Dr. Jain or the Settlor never expected t</w:t>
      </w:r>
      <w:r w:rsidR="00F640E7">
        <w:rPr>
          <w:rFonts w:ascii="Verdana" w:hAnsi="Verdana"/>
          <w:sz w:val="24"/>
          <w:szCs w:val="24"/>
          <w:lang w:val="en-US"/>
        </w:rPr>
        <w:t>hat in the year 2021, they would</w:t>
      </w:r>
      <w:r>
        <w:rPr>
          <w:rFonts w:ascii="Verdana" w:hAnsi="Verdana"/>
          <w:sz w:val="24"/>
          <w:szCs w:val="24"/>
          <w:lang w:val="en-US"/>
        </w:rPr>
        <w:t xml:space="preserve"> be expected to adduce evidence in furtherance of these acts which were performed in the year from 2000 to 2002.</w:t>
      </w:r>
    </w:p>
    <w:p w:rsidR="004D7750" w:rsidRDefault="005D17CB" w:rsidP="00F238AF">
      <w:pPr>
        <w:jc w:val="both"/>
        <w:rPr>
          <w:rFonts w:ascii="Verdana" w:hAnsi="Verdana"/>
          <w:sz w:val="24"/>
          <w:szCs w:val="24"/>
          <w:lang w:val="en-US"/>
        </w:rPr>
      </w:pPr>
      <w:r>
        <w:rPr>
          <w:rFonts w:ascii="Verdana" w:hAnsi="Verdana"/>
          <w:sz w:val="24"/>
          <w:szCs w:val="24"/>
          <w:lang w:val="en-US"/>
        </w:rPr>
        <w:t>Another development that occurred was on 14</w:t>
      </w:r>
      <w:r w:rsidRPr="005D17CB">
        <w:rPr>
          <w:rFonts w:ascii="Verdana" w:hAnsi="Verdana"/>
          <w:sz w:val="24"/>
          <w:szCs w:val="24"/>
          <w:vertAlign w:val="superscript"/>
          <w:lang w:val="en-US"/>
        </w:rPr>
        <w:t>th</w:t>
      </w:r>
      <w:r>
        <w:rPr>
          <w:rFonts w:ascii="Verdana" w:hAnsi="Verdana"/>
          <w:sz w:val="24"/>
          <w:szCs w:val="24"/>
          <w:lang w:val="en-US"/>
        </w:rPr>
        <w:t xml:space="preserve"> May, 2013. Having noticed that the trust funds were not being put t</w:t>
      </w:r>
      <w:r w:rsidR="003916D5">
        <w:rPr>
          <w:rFonts w:ascii="Verdana" w:hAnsi="Verdana"/>
          <w:sz w:val="24"/>
          <w:szCs w:val="24"/>
          <w:lang w:val="en-US"/>
        </w:rPr>
        <w:t xml:space="preserve">o </w:t>
      </w:r>
      <w:r>
        <w:rPr>
          <w:rFonts w:ascii="Verdana" w:hAnsi="Verdana"/>
          <w:sz w:val="24"/>
          <w:szCs w:val="24"/>
          <w:lang w:val="en-US"/>
        </w:rPr>
        <w:t xml:space="preserve">use in a beneficial way, the settlor in her prudence removed the first </w:t>
      </w:r>
      <w:r w:rsidR="00D677FD">
        <w:rPr>
          <w:rFonts w:ascii="Verdana" w:hAnsi="Verdana"/>
          <w:sz w:val="24"/>
          <w:szCs w:val="24"/>
          <w:lang w:val="en-US"/>
        </w:rPr>
        <w:t>trustees’</w:t>
      </w:r>
      <w:r>
        <w:rPr>
          <w:rFonts w:ascii="Verdana" w:hAnsi="Verdana"/>
          <w:sz w:val="24"/>
          <w:szCs w:val="24"/>
          <w:lang w:val="en-US"/>
        </w:rPr>
        <w:t xml:space="preserve"> </w:t>
      </w:r>
      <w:r w:rsidR="00F640E7">
        <w:rPr>
          <w:rFonts w:ascii="Verdana" w:hAnsi="Verdana"/>
          <w:sz w:val="24"/>
          <w:szCs w:val="24"/>
          <w:lang w:val="en-US"/>
        </w:rPr>
        <w:t>as well corporate entity, M/s Vibrant Properties Ltd who were managing till then the trust funds</w:t>
      </w:r>
      <w:r w:rsidR="00D677FD">
        <w:rPr>
          <w:rFonts w:ascii="Verdana" w:hAnsi="Verdana"/>
          <w:sz w:val="24"/>
          <w:szCs w:val="24"/>
          <w:lang w:val="en-US"/>
        </w:rPr>
        <w:t>. The settlor, that is, the assessee</w:t>
      </w:r>
      <w:r>
        <w:rPr>
          <w:rFonts w:ascii="Verdana" w:hAnsi="Verdana"/>
          <w:sz w:val="24"/>
          <w:szCs w:val="24"/>
          <w:lang w:val="en-US"/>
        </w:rPr>
        <w:t xml:space="preserve"> appointed a new trustee in Mr. </w:t>
      </w:r>
      <w:r>
        <w:rPr>
          <w:rFonts w:ascii="Verdana" w:hAnsi="Verdana"/>
          <w:sz w:val="24"/>
          <w:szCs w:val="24"/>
          <w:lang w:val="en-US"/>
        </w:rPr>
        <w:lastRenderedPageBreak/>
        <w:t>Jeffrey Christoffer</w:t>
      </w:r>
      <w:r w:rsidR="00D677FD">
        <w:rPr>
          <w:rFonts w:ascii="Verdana" w:hAnsi="Verdana"/>
          <w:sz w:val="24"/>
          <w:szCs w:val="24"/>
          <w:lang w:val="en-US"/>
        </w:rPr>
        <w:t xml:space="preserve"> </w:t>
      </w:r>
      <w:r>
        <w:rPr>
          <w:rFonts w:ascii="Verdana" w:hAnsi="Verdana"/>
          <w:sz w:val="24"/>
          <w:szCs w:val="24"/>
          <w:lang w:val="en-US"/>
        </w:rPr>
        <w:t xml:space="preserve">Gullbrand by duly executing a deed of appointment of New Trustee on that day. A copy of this deed is also available on the records of the case with the learned AO. </w:t>
      </w:r>
      <w:r w:rsidR="004D7750">
        <w:rPr>
          <w:rFonts w:ascii="Verdana" w:hAnsi="Verdana"/>
          <w:sz w:val="24"/>
          <w:szCs w:val="24"/>
          <w:lang w:val="en-US"/>
        </w:rPr>
        <w:t>It is clearly stipulated in this deed that the new trustee in exercise of the power hereinbefore recited do hereby grant and convey all the funds described in the Settlement deed and all other rights and other premises appurtenant thereto and comprised in</w:t>
      </w:r>
      <w:r w:rsidR="00D677FD">
        <w:rPr>
          <w:rFonts w:ascii="Verdana" w:hAnsi="Verdana"/>
          <w:sz w:val="24"/>
          <w:szCs w:val="24"/>
          <w:lang w:val="en-US"/>
        </w:rPr>
        <w:t xml:space="preserve"> the said deed of Trust  and </w:t>
      </w:r>
      <w:r w:rsidR="004D7750">
        <w:rPr>
          <w:rFonts w:ascii="Verdana" w:hAnsi="Verdana"/>
          <w:sz w:val="24"/>
          <w:szCs w:val="24"/>
          <w:lang w:val="en-US"/>
        </w:rPr>
        <w:t>assign</w:t>
      </w:r>
      <w:r w:rsidR="00D677FD">
        <w:rPr>
          <w:rFonts w:ascii="Verdana" w:hAnsi="Verdana"/>
          <w:sz w:val="24"/>
          <w:szCs w:val="24"/>
          <w:lang w:val="en-US"/>
        </w:rPr>
        <w:t>ed</w:t>
      </w:r>
      <w:r w:rsidR="004D7750">
        <w:rPr>
          <w:rFonts w:ascii="Verdana" w:hAnsi="Verdana"/>
          <w:sz w:val="24"/>
          <w:szCs w:val="24"/>
          <w:lang w:val="en-US"/>
        </w:rPr>
        <w:t xml:space="preserve"> the securities and investments and other property described in the deed to hold the same unto the new trustee along to the use and upon the same trust and with the same powers, provisions, obligations and declarations as are contained in the said Deed of trusts to the intent and purposes and as if the new trustee was originally appointed as trustee of the said deed of trust. This deed is signed by the Settlor, that is, the assessee and the new trustee. </w:t>
      </w:r>
    </w:p>
    <w:p w:rsidR="002D4B71" w:rsidRDefault="004D7750" w:rsidP="00F238AF">
      <w:pPr>
        <w:jc w:val="both"/>
        <w:rPr>
          <w:rFonts w:ascii="Verdana" w:hAnsi="Verdana"/>
          <w:sz w:val="24"/>
          <w:szCs w:val="24"/>
          <w:lang w:val="en-US"/>
        </w:rPr>
      </w:pPr>
      <w:r>
        <w:rPr>
          <w:rFonts w:ascii="Verdana" w:hAnsi="Verdana"/>
          <w:sz w:val="24"/>
          <w:szCs w:val="24"/>
          <w:lang w:val="en-US"/>
        </w:rPr>
        <w:t>It was because of this development that the account of Vibrant Properties Ltd at Singapore was closed which maintained the trust funds of the BWR Trust</w:t>
      </w:r>
      <w:r w:rsidR="00F72412">
        <w:rPr>
          <w:rFonts w:ascii="Verdana" w:hAnsi="Verdana"/>
          <w:sz w:val="24"/>
          <w:szCs w:val="24"/>
          <w:lang w:val="en-US"/>
        </w:rPr>
        <w:t xml:space="preserve"> there and the funds on </w:t>
      </w:r>
      <w:r w:rsidR="00D677FD">
        <w:rPr>
          <w:rFonts w:ascii="Verdana" w:hAnsi="Verdana"/>
          <w:sz w:val="24"/>
          <w:szCs w:val="24"/>
          <w:lang w:val="en-US"/>
        </w:rPr>
        <w:t>“</w:t>
      </w:r>
      <w:r w:rsidR="00F72412">
        <w:rPr>
          <w:rFonts w:ascii="Verdana" w:hAnsi="Verdana"/>
          <w:sz w:val="24"/>
          <w:szCs w:val="24"/>
          <w:lang w:val="en-US"/>
        </w:rPr>
        <w:t>as is where is basis</w:t>
      </w:r>
      <w:r w:rsidR="00D677FD">
        <w:rPr>
          <w:rFonts w:ascii="Verdana" w:hAnsi="Verdana"/>
          <w:sz w:val="24"/>
          <w:szCs w:val="24"/>
          <w:lang w:val="en-US"/>
        </w:rPr>
        <w:t>”,</w:t>
      </w:r>
      <w:r w:rsidR="00F72412">
        <w:rPr>
          <w:rFonts w:ascii="Verdana" w:hAnsi="Verdana"/>
          <w:sz w:val="24"/>
          <w:szCs w:val="24"/>
          <w:lang w:val="en-US"/>
        </w:rPr>
        <w:t xml:space="preserve"> was transferred to Hinduja Bank, Switzerland under the name “Terapanth”. This fact can be confirmed from the two accounts that the entire fund as such was transferred from Singapore to Switzerland and the new trustee was</w:t>
      </w:r>
      <w:r w:rsidR="00D677FD">
        <w:rPr>
          <w:rFonts w:ascii="Verdana" w:hAnsi="Verdana"/>
          <w:sz w:val="24"/>
          <w:szCs w:val="24"/>
          <w:lang w:val="en-US"/>
        </w:rPr>
        <w:t xml:space="preserve"> now</w:t>
      </w:r>
      <w:r w:rsidR="00F72412">
        <w:rPr>
          <w:rFonts w:ascii="Verdana" w:hAnsi="Verdana"/>
          <w:sz w:val="24"/>
          <w:szCs w:val="24"/>
          <w:lang w:val="en-US"/>
        </w:rPr>
        <w:t xml:space="preserve"> in possession, control and management of the trust fund of the BWR Trust. It was at the suggestion of the new trustee that the settlor was to act as authorized signatory. The trust fund as per agreement with the new trustee was under control, supervision, administration and management of the new trustee and the assessee did not exercise any control over these trust funds nor managed the same as is held by the learned AO.</w:t>
      </w:r>
      <w:r w:rsidR="009D0B8C">
        <w:rPr>
          <w:rFonts w:ascii="Verdana" w:hAnsi="Verdana"/>
          <w:sz w:val="24"/>
          <w:szCs w:val="24"/>
          <w:lang w:val="en-US"/>
        </w:rPr>
        <w:t xml:space="preserve"> A There is nothing wrong or unlawful as a prudent settlor may provide for multiple eventualities in aid of preservation of the corpus and accretions of the trust, with the end and intent to ensure that the principle objects of the trust are duly implemented under the aegis of the instrumentality of the trust. </w:t>
      </w:r>
    </w:p>
    <w:p w:rsidR="00625D24" w:rsidRDefault="009D0B8C" w:rsidP="00F238AF">
      <w:pPr>
        <w:jc w:val="both"/>
        <w:rPr>
          <w:rFonts w:ascii="Verdana" w:hAnsi="Verdana"/>
          <w:sz w:val="24"/>
          <w:szCs w:val="24"/>
          <w:lang w:val="en-US"/>
        </w:rPr>
      </w:pPr>
      <w:r>
        <w:rPr>
          <w:rFonts w:ascii="Verdana" w:hAnsi="Verdana"/>
          <w:sz w:val="24"/>
          <w:szCs w:val="24"/>
          <w:lang w:val="en-US"/>
        </w:rPr>
        <w:t xml:space="preserve">Therefore the exercise of power of appointment/replacement/removal of trustees including that of corporate vehicles managing the trust funds in circumstances of mismanagement by trustees may be reserved by the settlor to himself or for joint exercise </w:t>
      </w:r>
      <w:r w:rsidR="00625D24">
        <w:rPr>
          <w:rFonts w:ascii="Verdana" w:hAnsi="Verdana"/>
          <w:sz w:val="24"/>
          <w:szCs w:val="24"/>
          <w:lang w:val="en-US"/>
        </w:rPr>
        <w:t xml:space="preserve">with protector and /or beneficiary. </w:t>
      </w:r>
    </w:p>
    <w:p w:rsidR="00625D24" w:rsidRDefault="00625D24" w:rsidP="00F238AF">
      <w:pPr>
        <w:jc w:val="both"/>
        <w:rPr>
          <w:rFonts w:ascii="Verdana" w:hAnsi="Verdana"/>
          <w:sz w:val="24"/>
          <w:szCs w:val="24"/>
          <w:lang w:val="en-US"/>
        </w:rPr>
      </w:pPr>
      <w:r>
        <w:rPr>
          <w:rFonts w:ascii="Verdana" w:hAnsi="Verdana"/>
          <w:sz w:val="24"/>
          <w:szCs w:val="24"/>
          <w:lang w:val="en-US"/>
        </w:rPr>
        <w:t>It is no gain</w:t>
      </w:r>
      <w:r w:rsidR="00A03B28">
        <w:rPr>
          <w:rFonts w:ascii="Verdana" w:hAnsi="Verdana"/>
          <w:sz w:val="24"/>
          <w:szCs w:val="24"/>
          <w:lang w:val="en-US"/>
        </w:rPr>
        <w:t xml:space="preserve"> </w:t>
      </w:r>
      <w:r>
        <w:rPr>
          <w:rFonts w:ascii="Verdana" w:hAnsi="Verdana"/>
          <w:sz w:val="24"/>
          <w:szCs w:val="24"/>
          <w:lang w:val="en-US"/>
        </w:rPr>
        <w:t>saying that the scope and ambit of exercise of discretio</w:t>
      </w:r>
      <w:r w:rsidR="002D4B71">
        <w:rPr>
          <w:rFonts w:ascii="Verdana" w:hAnsi="Verdana"/>
          <w:sz w:val="24"/>
          <w:szCs w:val="24"/>
          <w:lang w:val="en-US"/>
        </w:rPr>
        <w:t>nary powers of trustees include</w:t>
      </w:r>
      <w:r>
        <w:rPr>
          <w:rFonts w:ascii="Verdana" w:hAnsi="Verdana"/>
          <w:sz w:val="24"/>
          <w:szCs w:val="24"/>
          <w:lang w:val="en-US"/>
        </w:rPr>
        <w:t xml:space="preserve"> retaining assets intact, thereby enabling accumulations or alternatively effectuating distributions from time to time, as may be considered appropriate in the absolute unfettered </w:t>
      </w:r>
      <w:r>
        <w:rPr>
          <w:rFonts w:ascii="Verdana" w:hAnsi="Verdana"/>
          <w:sz w:val="24"/>
          <w:szCs w:val="24"/>
          <w:lang w:val="en-US"/>
        </w:rPr>
        <w:lastRenderedPageBreak/>
        <w:t xml:space="preserve">discretion of the trustees. Distribution may be effected to one or more beneficiaries and in cash or </w:t>
      </w:r>
      <w:r w:rsidR="002D4B71">
        <w:rPr>
          <w:rFonts w:ascii="Verdana" w:hAnsi="Verdana"/>
          <w:sz w:val="24"/>
          <w:szCs w:val="24"/>
          <w:lang w:val="en-US"/>
        </w:rPr>
        <w:t xml:space="preserve">in </w:t>
      </w:r>
      <w:r>
        <w:rPr>
          <w:rFonts w:ascii="Verdana" w:hAnsi="Verdana"/>
          <w:sz w:val="24"/>
          <w:szCs w:val="24"/>
          <w:lang w:val="en-US"/>
        </w:rPr>
        <w:t>specie and it is only upon such a distribution that an individual benef</w:t>
      </w:r>
      <w:r w:rsidR="002D4B71">
        <w:rPr>
          <w:rFonts w:ascii="Verdana" w:hAnsi="Verdana"/>
          <w:sz w:val="24"/>
          <w:szCs w:val="24"/>
          <w:lang w:val="en-US"/>
        </w:rPr>
        <w:t>iciary would be exigible to tax in the jurisdiction of which such a beneficiary is resident.</w:t>
      </w:r>
    </w:p>
    <w:p w:rsidR="00B7186A" w:rsidRDefault="00625D24" w:rsidP="00F238AF">
      <w:pPr>
        <w:jc w:val="both"/>
        <w:rPr>
          <w:rFonts w:ascii="Verdana" w:hAnsi="Verdana"/>
          <w:sz w:val="24"/>
          <w:szCs w:val="24"/>
          <w:lang w:val="en-US"/>
        </w:rPr>
      </w:pPr>
      <w:r>
        <w:rPr>
          <w:rFonts w:ascii="Verdana" w:hAnsi="Verdana"/>
          <w:sz w:val="24"/>
          <w:szCs w:val="24"/>
          <w:lang w:val="en-US"/>
        </w:rPr>
        <w:t>Pending distribution to beneficiaries, the assets remain settled with the trustees and the obligation to offer to tax the corpus or income or accretion in the hands of the offshore trust would remain liable to be discharged by the offshore trustee</w:t>
      </w:r>
      <w:r w:rsidR="00B7186A">
        <w:rPr>
          <w:rFonts w:ascii="Verdana" w:hAnsi="Verdana"/>
          <w:sz w:val="24"/>
          <w:szCs w:val="24"/>
          <w:lang w:val="en-US"/>
        </w:rPr>
        <w:t>, in the relevant tax jurisdiction, either where the trust is situated and/or where the assets or investments of the trust are situated.</w:t>
      </w:r>
    </w:p>
    <w:p w:rsidR="00B7186A" w:rsidRDefault="00B7186A" w:rsidP="00F238AF">
      <w:pPr>
        <w:jc w:val="both"/>
        <w:rPr>
          <w:rFonts w:ascii="Verdana" w:hAnsi="Verdana"/>
          <w:sz w:val="24"/>
          <w:szCs w:val="24"/>
          <w:lang w:val="en-US"/>
        </w:rPr>
      </w:pPr>
      <w:r>
        <w:rPr>
          <w:rFonts w:ascii="Verdana" w:hAnsi="Verdana"/>
          <w:sz w:val="24"/>
          <w:szCs w:val="24"/>
          <w:lang w:val="en-US"/>
        </w:rPr>
        <w:t xml:space="preserve">On settled principles of ‘territoriality’, without more, there is no scope to </w:t>
      </w:r>
      <w:r w:rsidR="002D4B71">
        <w:rPr>
          <w:rFonts w:ascii="Verdana" w:hAnsi="Verdana"/>
          <w:sz w:val="24"/>
          <w:szCs w:val="24"/>
          <w:lang w:val="en-US"/>
        </w:rPr>
        <w:t>bring to</w:t>
      </w:r>
      <w:r>
        <w:rPr>
          <w:rFonts w:ascii="Verdana" w:hAnsi="Verdana"/>
          <w:sz w:val="24"/>
          <w:szCs w:val="24"/>
          <w:lang w:val="en-US"/>
        </w:rPr>
        <w:t xml:space="preserve"> tax within the ambit of the Act</w:t>
      </w:r>
      <w:r w:rsidR="00625D24">
        <w:rPr>
          <w:rFonts w:ascii="Verdana" w:hAnsi="Verdana"/>
          <w:sz w:val="24"/>
          <w:szCs w:val="24"/>
          <w:lang w:val="en-US"/>
        </w:rPr>
        <w:t xml:space="preserve"> </w:t>
      </w:r>
      <w:r>
        <w:rPr>
          <w:rFonts w:ascii="Verdana" w:hAnsi="Verdana"/>
          <w:sz w:val="24"/>
          <w:szCs w:val="24"/>
          <w:lang w:val="en-US"/>
        </w:rPr>
        <w:t xml:space="preserve">income arising to an offshore irrevocable discretionary trust structure under the control of an offshore trustee, much less </w:t>
      </w:r>
      <w:r w:rsidR="002D4B71">
        <w:rPr>
          <w:rFonts w:ascii="Verdana" w:hAnsi="Verdana"/>
          <w:sz w:val="24"/>
          <w:szCs w:val="24"/>
          <w:lang w:val="en-US"/>
        </w:rPr>
        <w:t>in hands</w:t>
      </w:r>
      <w:r>
        <w:rPr>
          <w:rFonts w:ascii="Verdana" w:hAnsi="Verdana"/>
          <w:sz w:val="24"/>
          <w:szCs w:val="24"/>
          <w:lang w:val="en-US"/>
        </w:rPr>
        <w:t xml:space="preserve"> of the   assessee. </w:t>
      </w:r>
    </w:p>
    <w:p w:rsidR="007F3E68" w:rsidRDefault="00B7186A" w:rsidP="00F238AF">
      <w:pPr>
        <w:jc w:val="both"/>
        <w:rPr>
          <w:rFonts w:ascii="Verdana" w:hAnsi="Verdana"/>
          <w:sz w:val="24"/>
          <w:szCs w:val="24"/>
          <w:lang w:val="en-US"/>
        </w:rPr>
      </w:pPr>
      <w:r>
        <w:rPr>
          <w:rFonts w:ascii="Verdana" w:hAnsi="Verdana"/>
          <w:sz w:val="24"/>
          <w:szCs w:val="24"/>
          <w:lang w:val="en-US"/>
        </w:rPr>
        <w:t>The settled legal position is that ‘ a discretionary’ trust is one which gives a beneficiary no right to any part</w:t>
      </w:r>
      <w:r w:rsidR="009D0B8C">
        <w:rPr>
          <w:rFonts w:ascii="Verdana" w:hAnsi="Verdana"/>
          <w:sz w:val="24"/>
          <w:szCs w:val="24"/>
          <w:lang w:val="en-US"/>
        </w:rPr>
        <w:t xml:space="preserve">  </w:t>
      </w:r>
      <w:r>
        <w:rPr>
          <w:rFonts w:ascii="Verdana" w:hAnsi="Verdana"/>
          <w:sz w:val="24"/>
          <w:szCs w:val="24"/>
          <w:lang w:val="en-US"/>
        </w:rPr>
        <w:t>of the income</w:t>
      </w:r>
      <w:r w:rsidR="007F3E68">
        <w:rPr>
          <w:rFonts w:ascii="Verdana" w:hAnsi="Verdana"/>
          <w:sz w:val="24"/>
          <w:szCs w:val="24"/>
          <w:lang w:val="en-US"/>
        </w:rPr>
        <w:t xml:space="preserve"> of the trust property, but vests in the trustees a discretionary power to pay him or apply for his benefit, such part of the income as he thinks fit. A beneficiary thus has no more than a hope that the discretion will be exercised in his favour.</w:t>
      </w:r>
      <w:r w:rsidR="002D4B71">
        <w:rPr>
          <w:rFonts w:ascii="Verdana" w:hAnsi="Verdana"/>
          <w:sz w:val="24"/>
          <w:szCs w:val="24"/>
          <w:lang w:val="en-US"/>
        </w:rPr>
        <w:t xml:space="preserve"> </w:t>
      </w:r>
      <w:r w:rsidR="002D4B71" w:rsidRPr="00A03B28">
        <w:rPr>
          <w:rFonts w:ascii="Verdana" w:hAnsi="Verdana"/>
          <w:color w:val="FF0000"/>
          <w:sz w:val="24"/>
          <w:szCs w:val="24"/>
          <w:highlight w:val="yellow"/>
          <w:lang w:val="en-US"/>
        </w:rPr>
        <w:t>In a rare situation only a settlor who has devolved and divested his property settled upon a trust can be held to be the “owner” of the trust funds, accumulations therein and accretions thereof.</w:t>
      </w:r>
    </w:p>
    <w:p w:rsidR="007F3E68" w:rsidRDefault="007F3E68" w:rsidP="00F238AF">
      <w:pPr>
        <w:jc w:val="both"/>
        <w:rPr>
          <w:rFonts w:ascii="Verdana" w:hAnsi="Verdana"/>
          <w:sz w:val="24"/>
          <w:szCs w:val="24"/>
          <w:lang w:val="en-US"/>
        </w:rPr>
      </w:pPr>
      <w:r>
        <w:rPr>
          <w:rFonts w:ascii="Verdana" w:hAnsi="Verdana"/>
          <w:sz w:val="24"/>
          <w:szCs w:val="24"/>
          <w:lang w:val="en-US"/>
        </w:rPr>
        <w:t xml:space="preserve">Learned AO has also neither identified nor established any source or other form of evidence to </w:t>
      </w:r>
      <w:r w:rsidR="002D4B71">
        <w:rPr>
          <w:rFonts w:ascii="Verdana" w:hAnsi="Verdana"/>
          <w:sz w:val="24"/>
          <w:szCs w:val="24"/>
          <w:lang w:val="en-US"/>
        </w:rPr>
        <w:t>support</w:t>
      </w:r>
      <w:r>
        <w:rPr>
          <w:rFonts w:ascii="Verdana" w:hAnsi="Verdana"/>
          <w:sz w:val="24"/>
          <w:szCs w:val="24"/>
          <w:lang w:val="en-US"/>
        </w:rPr>
        <w:t xml:space="preserve"> his decision that the assessee has made contribution or addition to the offshore trust over and above USD 100/- which sum she settled upon the trust on 22</w:t>
      </w:r>
      <w:r w:rsidRPr="007F3E68">
        <w:rPr>
          <w:rFonts w:ascii="Verdana" w:hAnsi="Verdana"/>
          <w:sz w:val="24"/>
          <w:szCs w:val="24"/>
          <w:vertAlign w:val="superscript"/>
          <w:lang w:val="en-US"/>
        </w:rPr>
        <w:t>nd</w:t>
      </w:r>
      <w:r>
        <w:rPr>
          <w:rFonts w:ascii="Verdana" w:hAnsi="Verdana"/>
          <w:sz w:val="24"/>
          <w:szCs w:val="24"/>
          <w:lang w:val="en-US"/>
        </w:rPr>
        <w:t xml:space="preserve"> February, 2000.</w:t>
      </w:r>
    </w:p>
    <w:p w:rsidR="00877384" w:rsidRDefault="007F3E68" w:rsidP="00F238AF">
      <w:pPr>
        <w:jc w:val="both"/>
        <w:rPr>
          <w:rFonts w:ascii="Verdana" w:hAnsi="Verdana"/>
          <w:sz w:val="24"/>
          <w:szCs w:val="24"/>
          <w:lang w:val="en-US"/>
        </w:rPr>
      </w:pPr>
      <w:r>
        <w:rPr>
          <w:rFonts w:ascii="Verdana" w:hAnsi="Verdana"/>
          <w:sz w:val="24"/>
          <w:szCs w:val="24"/>
          <w:lang w:val="en-US"/>
        </w:rPr>
        <w:t xml:space="preserve">The only case of the learned AO that the assessee is the sole owner of the funds standing to the credit of the account with Hinduja Bank is premised on the abstract surmise that records maintained by </w:t>
      </w:r>
      <w:r w:rsidR="002D4B71">
        <w:rPr>
          <w:rFonts w:ascii="Verdana" w:hAnsi="Verdana"/>
          <w:sz w:val="24"/>
          <w:szCs w:val="24"/>
          <w:lang w:val="en-US"/>
        </w:rPr>
        <w:t xml:space="preserve">the </w:t>
      </w:r>
      <w:r>
        <w:rPr>
          <w:rFonts w:ascii="Verdana" w:hAnsi="Verdana"/>
          <w:sz w:val="24"/>
          <w:szCs w:val="24"/>
          <w:lang w:val="en-US"/>
        </w:rPr>
        <w:t>bankers of corporate entities</w:t>
      </w:r>
      <w:r w:rsidR="00877384">
        <w:rPr>
          <w:rFonts w:ascii="Verdana" w:hAnsi="Verdana"/>
          <w:sz w:val="24"/>
          <w:szCs w:val="24"/>
          <w:lang w:val="en-US"/>
        </w:rPr>
        <w:t xml:space="preserve"> within the trust st</w:t>
      </w:r>
      <w:r w:rsidR="002D4B71">
        <w:rPr>
          <w:rFonts w:ascii="Verdana" w:hAnsi="Verdana"/>
          <w:sz w:val="24"/>
          <w:szCs w:val="24"/>
          <w:lang w:val="en-US"/>
        </w:rPr>
        <w:t>ructure of the BWR trust bear</w:t>
      </w:r>
      <w:r w:rsidR="00877384">
        <w:rPr>
          <w:rFonts w:ascii="Verdana" w:hAnsi="Verdana"/>
          <w:sz w:val="24"/>
          <w:szCs w:val="24"/>
          <w:lang w:val="en-US"/>
        </w:rPr>
        <w:t xml:space="preserve"> declaration that the copies of bank statements and portfolio statements of Mrs. Indubala Jain’s account</w:t>
      </w:r>
      <w:bookmarkStart w:id="0" w:name="_GoBack"/>
      <w:bookmarkEnd w:id="0"/>
      <w:r w:rsidR="00877384">
        <w:rPr>
          <w:rFonts w:ascii="Verdana" w:hAnsi="Verdana"/>
          <w:sz w:val="24"/>
          <w:szCs w:val="24"/>
          <w:lang w:val="en-US"/>
        </w:rPr>
        <w:t xml:space="preserve"> with Hinduja Bank are provided</w:t>
      </w:r>
      <w:r w:rsidR="002D4B71">
        <w:rPr>
          <w:rFonts w:ascii="Verdana" w:hAnsi="Verdana"/>
          <w:sz w:val="24"/>
          <w:szCs w:val="24"/>
          <w:lang w:val="en-US"/>
        </w:rPr>
        <w:t>. This fact alone</w:t>
      </w:r>
      <w:r w:rsidR="00877384">
        <w:rPr>
          <w:rFonts w:ascii="Verdana" w:hAnsi="Verdana"/>
          <w:sz w:val="24"/>
          <w:szCs w:val="24"/>
          <w:lang w:val="en-US"/>
        </w:rPr>
        <w:t xml:space="preserve"> does not </w:t>
      </w:r>
      <w:r w:rsidR="002D4B71">
        <w:rPr>
          <w:rFonts w:ascii="Verdana" w:hAnsi="Verdana"/>
          <w:sz w:val="24"/>
          <w:szCs w:val="24"/>
          <w:lang w:val="en-US"/>
        </w:rPr>
        <w:t>per se</w:t>
      </w:r>
      <w:r w:rsidR="00877384">
        <w:rPr>
          <w:rFonts w:ascii="Verdana" w:hAnsi="Verdana"/>
          <w:sz w:val="24"/>
          <w:szCs w:val="24"/>
          <w:lang w:val="en-US"/>
        </w:rPr>
        <w:t xml:space="preserve"> prove that the trust funds belong to the assessee. Learned AO has not made any enquiry about the relationship in which ‘Terapanth’ account is maintained. She being the ‘Settlor’ of the BWR trust, her name is referred to in this correspondence. </w:t>
      </w:r>
    </w:p>
    <w:p w:rsidR="00D743B7" w:rsidRDefault="00877384" w:rsidP="00F238AF">
      <w:pPr>
        <w:jc w:val="both"/>
        <w:rPr>
          <w:rFonts w:ascii="Verdana" w:hAnsi="Verdana"/>
          <w:sz w:val="24"/>
          <w:szCs w:val="24"/>
          <w:lang w:val="en-US"/>
        </w:rPr>
      </w:pPr>
      <w:r>
        <w:rPr>
          <w:rFonts w:ascii="Verdana" w:hAnsi="Verdana"/>
          <w:sz w:val="24"/>
          <w:szCs w:val="24"/>
          <w:lang w:val="en-US"/>
        </w:rPr>
        <w:t xml:space="preserve">The assessee is neither shareholder nor director in the corporate entity, M/s Vibrant Properties Ltd which managed the trust funds of the BWR </w:t>
      </w:r>
      <w:r>
        <w:rPr>
          <w:rFonts w:ascii="Verdana" w:hAnsi="Verdana"/>
          <w:sz w:val="24"/>
          <w:szCs w:val="24"/>
          <w:lang w:val="en-US"/>
        </w:rPr>
        <w:lastRenderedPageBreak/>
        <w:t>trust in accordance with the local regulations</w:t>
      </w:r>
      <w:r w:rsidR="002D4B71">
        <w:rPr>
          <w:rFonts w:ascii="Verdana" w:hAnsi="Verdana"/>
          <w:sz w:val="24"/>
          <w:szCs w:val="24"/>
          <w:lang w:val="en-US"/>
        </w:rPr>
        <w:t xml:space="preserve"> till May, 2013</w:t>
      </w:r>
      <w:r>
        <w:rPr>
          <w:rFonts w:ascii="Verdana" w:hAnsi="Verdana"/>
          <w:sz w:val="24"/>
          <w:szCs w:val="24"/>
          <w:lang w:val="en-US"/>
        </w:rPr>
        <w:t xml:space="preserve">. She was not </w:t>
      </w:r>
      <w:proofErr w:type="gramStart"/>
      <w:r>
        <w:rPr>
          <w:rFonts w:ascii="Verdana" w:hAnsi="Verdana"/>
          <w:sz w:val="24"/>
          <w:szCs w:val="24"/>
          <w:lang w:val="en-US"/>
        </w:rPr>
        <w:t>signatory</w:t>
      </w:r>
      <w:proofErr w:type="gramEnd"/>
      <w:r>
        <w:rPr>
          <w:rFonts w:ascii="Verdana" w:hAnsi="Verdana"/>
          <w:sz w:val="24"/>
          <w:szCs w:val="24"/>
          <w:lang w:val="en-US"/>
        </w:rPr>
        <w:t xml:space="preserve"> </w:t>
      </w:r>
      <w:r w:rsidR="002D4B71">
        <w:rPr>
          <w:rFonts w:ascii="Verdana" w:hAnsi="Verdana"/>
          <w:sz w:val="24"/>
          <w:szCs w:val="24"/>
          <w:lang w:val="en-US"/>
        </w:rPr>
        <w:t xml:space="preserve">to </w:t>
      </w:r>
      <w:r w:rsidR="00DF4754">
        <w:rPr>
          <w:rFonts w:ascii="Verdana" w:hAnsi="Verdana"/>
          <w:sz w:val="24"/>
          <w:szCs w:val="24"/>
          <w:lang w:val="en-US"/>
        </w:rPr>
        <w:t>the bank account</w:t>
      </w:r>
      <w:r>
        <w:rPr>
          <w:rFonts w:ascii="Verdana" w:hAnsi="Verdana"/>
          <w:sz w:val="24"/>
          <w:szCs w:val="24"/>
          <w:lang w:val="en-US"/>
        </w:rPr>
        <w:t xml:space="preserve"> of the corporate vehicle in the form of M/s Vibrant Properties Ltd within the trust structure which was managed directly by the trustees in pursuance of the instrument of trust. The trustees are not ‘beneficial owners of the interests in the trust structure </w:t>
      </w:r>
      <w:r w:rsidR="00D743B7">
        <w:rPr>
          <w:rFonts w:ascii="Verdana" w:hAnsi="Verdana"/>
          <w:sz w:val="24"/>
          <w:szCs w:val="24"/>
          <w:lang w:val="en-US"/>
        </w:rPr>
        <w:t>and would not be entitled to declare themselves as ‘beneficial’ owners.</w:t>
      </w:r>
    </w:p>
    <w:p w:rsidR="0055254E" w:rsidRDefault="00D743B7" w:rsidP="00F238AF">
      <w:pPr>
        <w:jc w:val="both"/>
        <w:rPr>
          <w:rFonts w:ascii="Verdana" w:hAnsi="Verdana"/>
          <w:sz w:val="24"/>
          <w:szCs w:val="24"/>
          <w:lang w:val="en-US"/>
        </w:rPr>
      </w:pPr>
      <w:r>
        <w:rPr>
          <w:rFonts w:ascii="Verdana" w:hAnsi="Verdana"/>
          <w:sz w:val="24"/>
          <w:szCs w:val="24"/>
          <w:lang w:val="en-US"/>
        </w:rPr>
        <w:t>Compliance of fulfilling KYC requirements or other obligations cannot supersede the governing instrument of trust which determines rights, powers, obligations, and privileges, limitations inter se between the settlor, trustees, beneficiaries and the protector included in the instrument of trust structure. The only act of the new trustee offering up the name of the settlor as signatory to account is incapable of being equated as vesting upon the settlor the trust assets or to cause income of the trust to be assessed in her hands</w:t>
      </w:r>
      <w:r w:rsidR="0055254E">
        <w:rPr>
          <w:rFonts w:ascii="Verdana" w:hAnsi="Verdana"/>
          <w:sz w:val="24"/>
          <w:szCs w:val="24"/>
          <w:lang w:val="en-US"/>
        </w:rPr>
        <w:t>. Such an action is impermissible in law in the want of cogent reliable evidence.</w:t>
      </w:r>
    </w:p>
    <w:p w:rsidR="006F1A09" w:rsidRDefault="0055254E" w:rsidP="00F238AF">
      <w:pPr>
        <w:jc w:val="both"/>
        <w:rPr>
          <w:rFonts w:ascii="Verdana" w:hAnsi="Verdana"/>
          <w:sz w:val="24"/>
          <w:szCs w:val="24"/>
          <w:lang w:val="en-US"/>
        </w:rPr>
      </w:pPr>
      <w:r>
        <w:rPr>
          <w:rFonts w:ascii="Verdana" w:hAnsi="Verdana"/>
          <w:sz w:val="24"/>
          <w:szCs w:val="24"/>
          <w:lang w:val="en-US"/>
        </w:rPr>
        <w:t xml:space="preserve"> </w:t>
      </w:r>
      <w:r w:rsidR="00D743B7">
        <w:rPr>
          <w:rFonts w:ascii="Verdana" w:hAnsi="Verdana"/>
          <w:sz w:val="24"/>
          <w:szCs w:val="24"/>
          <w:lang w:val="en-US"/>
        </w:rPr>
        <w:t xml:space="preserve">The entire action of learned AO to assess the credit balance available to the trust, other accumulations, accretions in the form of interest, coupon income, dividend income </w:t>
      </w:r>
      <w:r w:rsidR="00BA7A46">
        <w:rPr>
          <w:rFonts w:ascii="Verdana" w:hAnsi="Verdana"/>
          <w:sz w:val="24"/>
          <w:szCs w:val="24"/>
          <w:lang w:val="en-US"/>
        </w:rPr>
        <w:t xml:space="preserve">is bad-in-law, void </w:t>
      </w:r>
      <w:proofErr w:type="spellStart"/>
      <w:r w:rsidR="00BA7A46">
        <w:rPr>
          <w:rFonts w:ascii="Verdana" w:hAnsi="Verdana"/>
          <w:sz w:val="24"/>
          <w:szCs w:val="24"/>
          <w:lang w:val="en-US"/>
        </w:rPr>
        <w:t>ab</w:t>
      </w:r>
      <w:proofErr w:type="spellEnd"/>
      <w:r w:rsidR="00BA7A46">
        <w:rPr>
          <w:rFonts w:ascii="Verdana" w:hAnsi="Verdana"/>
          <w:sz w:val="24"/>
          <w:szCs w:val="24"/>
          <w:lang w:val="en-US"/>
        </w:rPr>
        <w:t xml:space="preserve"> initio and without jurisdiction. </w:t>
      </w:r>
      <w:r w:rsidR="006F1A09">
        <w:rPr>
          <w:rFonts w:ascii="Verdana" w:hAnsi="Verdana"/>
          <w:sz w:val="24"/>
          <w:szCs w:val="24"/>
          <w:lang w:val="en-US"/>
        </w:rPr>
        <w:t xml:space="preserve">The assessee had never managed, controlled or administered the trust property which was sole function of the trustees. There is not an </w:t>
      </w:r>
      <w:r>
        <w:rPr>
          <w:rFonts w:ascii="Verdana" w:hAnsi="Verdana"/>
          <w:sz w:val="24"/>
          <w:szCs w:val="24"/>
          <w:lang w:val="en-US"/>
        </w:rPr>
        <w:t>iota of evidence to the contrary to hold the settlor as “owner” thereof.</w:t>
      </w:r>
      <w:r w:rsidR="006F1A09">
        <w:rPr>
          <w:rFonts w:ascii="Verdana" w:hAnsi="Verdana"/>
          <w:sz w:val="24"/>
          <w:szCs w:val="24"/>
          <w:lang w:val="en-US"/>
        </w:rPr>
        <w:t xml:space="preserve">                           </w:t>
      </w:r>
    </w:p>
    <w:p w:rsidR="00E21495" w:rsidRPr="00E21495" w:rsidRDefault="0055254E" w:rsidP="00F238AF">
      <w:pPr>
        <w:jc w:val="both"/>
        <w:rPr>
          <w:rFonts w:ascii="Verdana" w:hAnsi="Verdana"/>
          <w:sz w:val="24"/>
          <w:szCs w:val="24"/>
          <w:lang w:val="en-US"/>
        </w:rPr>
      </w:pPr>
      <w:r>
        <w:rPr>
          <w:rFonts w:ascii="Verdana" w:hAnsi="Verdana"/>
          <w:sz w:val="24"/>
          <w:szCs w:val="24"/>
          <w:lang w:val="en-US"/>
        </w:rPr>
        <w:t>Thus</w:t>
      </w:r>
      <w:proofErr w:type="gramStart"/>
      <w:r>
        <w:rPr>
          <w:rFonts w:ascii="Verdana" w:hAnsi="Verdana"/>
          <w:sz w:val="24"/>
          <w:szCs w:val="24"/>
          <w:lang w:val="en-US"/>
        </w:rPr>
        <w:t>,t</w:t>
      </w:r>
      <w:r w:rsidR="00BA7A46">
        <w:rPr>
          <w:rFonts w:ascii="Verdana" w:hAnsi="Verdana"/>
          <w:sz w:val="24"/>
          <w:szCs w:val="24"/>
          <w:lang w:val="en-US"/>
        </w:rPr>
        <w:t>he</w:t>
      </w:r>
      <w:proofErr w:type="gramEnd"/>
      <w:r w:rsidR="00BA7A46">
        <w:rPr>
          <w:rFonts w:ascii="Verdana" w:hAnsi="Verdana"/>
          <w:sz w:val="24"/>
          <w:szCs w:val="24"/>
          <w:lang w:val="en-US"/>
        </w:rPr>
        <w:t xml:space="preserve"> </w:t>
      </w:r>
      <w:r w:rsidR="006F1A09">
        <w:rPr>
          <w:rFonts w:ascii="Verdana" w:hAnsi="Verdana"/>
          <w:sz w:val="24"/>
          <w:szCs w:val="24"/>
          <w:lang w:val="en-US"/>
        </w:rPr>
        <w:t>additions made to the returned income deserve</w:t>
      </w:r>
      <w:r w:rsidR="00BA7A46">
        <w:rPr>
          <w:rFonts w:ascii="Verdana" w:hAnsi="Verdana"/>
          <w:sz w:val="24"/>
          <w:szCs w:val="24"/>
          <w:lang w:val="en-US"/>
        </w:rPr>
        <w:t xml:space="preserve"> to be deleted and be deleted.</w:t>
      </w:r>
      <w:r w:rsidR="006F1A09">
        <w:rPr>
          <w:rFonts w:ascii="Verdana" w:hAnsi="Verdana"/>
          <w:sz w:val="24"/>
          <w:szCs w:val="24"/>
          <w:lang w:val="en-US"/>
        </w:rPr>
        <w:t xml:space="preserve"> </w:t>
      </w:r>
    </w:p>
    <w:sectPr w:rsidR="00E21495" w:rsidRPr="00E2149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32" w:rsidRDefault="005A3432" w:rsidP="004B21EE">
      <w:pPr>
        <w:spacing w:after="0" w:line="240" w:lineRule="auto"/>
      </w:pPr>
      <w:r>
        <w:separator/>
      </w:r>
    </w:p>
  </w:endnote>
  <w:endnote w:type="continuationSeparator" w:id="0">
    <w:p w:rsidR="005A3432" w:rsidRDefault="005A3432" w:rsidP="004B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45703"/>
      <w:docPartObj>
        <w:docPartGallery w:val="Page Numbers (Bottom of Page)"/>
        <w:docPartUnique/>
      </w:docPartObj>
    </w:sdtPr>
    <w:sdtEndPr>
      <w:rPr>
        <w:noProof/>
      </w:rPr>
    </w:sdtEndPr>
    <w:sdtContent>
      <w:p w:rsidR="004B21EE" w:rsidRDefault="004B21EE">
        <w:pPr>
          <w:pStyle w:val="Footer"/>
          <w:jc w:val="right"/>
        </w:pPr>
        <w:r>
          <w:fldChar w:fldCharType="begin"/>
        </w:r>
        <w:r>
          <w:instrText xml:space="preserve"> PAGE   \* MERGEFORMAT </w:instrText>
        </w:r>
        <w:r>
          <w:fldChar w:fldCharType="separate"/>
        </w:r>
        <w:r w:rsidR="006954BA">
          <w:rPr>
            <w:noProof/>
          </w:rPr>
          <w:t>1</w:t>
        </w:r>
        <w:r>
          <w:rPr>
            <w:noProof/>
          </w:rPr>
          <w:fldChar w:fldCharType="end"/>
        </w:r>
      </w:p>
    </w:sdtContent>
  </w:sdt>
  <w:p w:rsidR="004B21EE" w:rsidRDefault="004B2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32" w:rsidRDefault="005A3432" w:rsidP="004B21EE">
      <w:pPr>
        <w:spacing w:after="0" w:line="240" w:lineRule="auto"/>
      </w:pPr>
      <w:r>
        <w:separator/>
      </w:r>
    </w:p>
  </w:footnote>
  <w:footnote w:type="continuationSeparator" w:id="0">
    <w:p w:rsidR="005A3432" w:rsidRDefault="005A3432" w:rsidP="004B2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02CF6"/>
    <w:multiLevelType w:val="hybridMultilevel"/>
    <w:tmpl w:val="F24C1340"/>
    <w:lvl w:ilvl="0" w:tplc="2E6C4C7E">
      <w:numFmt w:val="bullet"/>
      <w:lvlText w:val="-"/>
      <w:lvlJc w:val="left"/>
      <w:pPr>
        <w:ind w:left="720" w:hanging="360"/>
      </w:pPr>
      <w:rPr>
        <w:rFonts w:ascii="Verdana" w:eastAsiaTheme="minorHAnsi" w:hAnsi="Verdan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42"/>
    <w:rsid w:val="00022A26"/>
    <w:rsid w:val="000275C7"/>
    <w:rsid w:val="00083A45"/>
    <w:rsid w:val="000A343A"/>
    <w:rsid w:val="001E2443"/>
    <w:rsid w:val="002340AC"/>
    <w:rsid w:val="00283478"/>
    <w:rsid w:val="002A1BCC"/>
    <w:rsid w:val="002C4CF1"/>
    <w:rsid w:val="002D4B71"/>
    <w:rsid w:val="0030746F"/>
    <w:rsid w:val="003916D5"/>
    <w:rsid w:val="003C7DB9"/>
    <w:rsid w:val="004110FA"/>
    <w:rsid w:val="00412816"/>
    <w:rsid w:val="004427CC"/>
    <w:rsid w:val="004B21EE"/>
    <w:rsid w:val="004D7750"/>
    <w:rsid w:val="004E11A3"/>
    <w:rsid w:val="0055254E"/>
    <w:rsid w:val="005A3432"/>
    <w:rsid w:val="005D17CB"/>
    <w:rsid w:val="005D7EF0"/>
    <w:rsid w:val="00625D24"/>
    <w:rsid w:val="006954BA"/>
    <w:rsid w:val="006F1A09"/>
    <w:rsid w:val="0075604B"/>
    <w:rsid w:val="00767824"/>
    <w:rsid w:val="007D6CB1"/>
    <w:rsid w:val="007F3E68"/>
    <w:rsid w:val="008102A7"/>
    <w:rsid w:val="00877384"/>
    <w:rsid w:val="008855BD"/>
    <w:rsid w:val="009409C0"/>
    <w:rsid w:val="009C46B7"/>
    <w:rsid w:val="009D0B8C"/>
    <w:rsid w:val="00A03B28"/>
    <w:rsid w:val="00A42291"/>
    <w:rsid w:val="00AC7B77"/>
    <w:rsid w:val="00AE48B8"/>
    <w:rsid w:val="00B7186A"/>
    <w:rsid w:val="00B92985"/>
    <w:rsid w:val="00BA7A46"/>
    <w:rsid w:val="00C552E8"/>
    <w:rsid w:val="00C64154"/>
    <w:rsid w:val="00C854A1"/>
    <w:rsid w:val="00C9448C"/>
    <w:rsid w:val="00D677FD"/>
    <w:rsid w:val="00D743B7"/>
    <w:rsid w:val="00DD569F"/>
    <w:rsid w:val="00DE7332"/>
    <w:rsid w:val="00DF4754"/>
    <w:rsid w:val="00E21495"/>
    <w:rsid w:val="00E23E6E"/>
    <w:rsid w:val="00E35442"/>
    <w:rsid w:val="00E40EE4"/>
    <w:rsid w:val="00EC2B3A"/>
    <w:rsid w:val="00F238AF"/>
    <w:rsid w:val="00F640E7"/>
    <w:rsid w:val="00F72412"/>
    <w:rsid w:val="00FE47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1EE"/>
  </w:style>
  <w:style w:type="paragraph" w:styleId="Footer">
    <w:name w:val="footer"/>
    <w:basedOn w:val="Normal"/>
    <w:link w:val="FooterChar"/>
    <w:uiPriority w:val="99"/>
    <w:unhideWhenUsed/>
    <w:rsid w:val="004B2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1EE"/>
  </w:style>
  <w:style w:type="paragraph" w:styleId="ListParagraph">
    <w:name w:val="List Paragraph"/>
    <w:basedOn w:val="Normal"/>
    <w:uiPriority w:val="34"/>
    <w:qFormat/>
    <w:rsid w:val="00083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1EE"/>
  </w:style>
  <w:style w:type="paragraph" w:styleId="Footer">
    <w:name w:val="footer"/>
    <w:basedOn w:val="Normal"/>
    <w:link w:val="FooterChar"/>
    <w:uiPriority w:val="99"/>
    <w:unhideWhenUsed/>
    <w:rsid w:val="004B2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1EE"/>
  </w:style>
  <w:style w:type="paragraph" w:styleId="ListParagraph">
    <w:name w:val="List Paragraph"/>
    <w:basedOn w:val="Normal"/>
    <w:uiPriority w:val="34"/>
    <w:qFormat/>
    <w:rsid w:val="00083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7</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vandana</cp:lastModifiedBy>
  <cp:revision>32</cp:revision>
  <dcterms:created xsi:type="dcterms:W3CDTF">2021-10-12T09:11:00Z</dcterms:created>
  <dcterms:modified xsi:type="dcterms:W3CDTF">2021-10-15T05:47:00Z</dcterms:modified>
</cp:coreProperties>
</file>