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676" w:rsidRDefault="00737676" w:rsidP="005456EA">
      <w:pPr>
        <w:ind w:left="720"/>
        <w:rPr>
          <w:rFonts w:ascii="Verdana" w:hAnsi="Verdana"/>
          <w:sz w:val="24"/>
          <w:szCs w:val="24"/>
          <w:lang w:val="en-US"/>
        </w:rPr>
      </w:pPr>
      <w:r>
        <w:rPr>
          <w:rFonts w:ascii="Verdana" w:hAnsi="Verdana"/>
          <w:sz w:val="24"/>
          <w:szCs w:val="24"/>
          <w:lang w:val="en-US"/>
        </w:rPr>
        <w:t>Mrs. Indubala Porwal- PAN----------------- Appeal to learned Commissioner of Income Tax (Appeals), Udaipur- Assessment Year 2014-15-</w:t>
      </w:r>
    </w:p>
    <w:p w:rsidR="005456EA" w:rsidRDefault="005456EA" w:rsidP="005456EA">
      <w:pPr>
        <w:ind w:left="720"/>
        <w:rPr>
          <w:rFonts w:ascii="Verdana" w:hAnsi="Verdana"/>
          <w:sz w:val="24"/>
          <w:szCs w:val="24"/>
          <w:lang w:val="en-US"/>
        </w:rPr>
      </w:pPr>
      <w:r>
        <w:rPr>
          <w:rFonts w:ascii="Verdana" w:hAnsi="Verdana"/>
          <w:sz w:val="24"/>
          <w:szCs w:val="24"/>
          <w:lang w:val="en-US"/>
        </w:rPr>
        <w:t>Based on the facts and circumstances of the case, the appellant-assessee respectfully craves leave to prefer an appeal against the assessment order dated 30</w:t>
      </w:r>
      <w:r w:rsidRPr="005456EA">
        <w:rPr>
          <w:rFonts w:ascii="Verdana" w:hAnsi="Verdana"/>
          <w:sz w:val="24"/>
          <w:szCs w:val="24"/>
          <w:vertAlign w:val="superscript"/>
          <w:lang w:val="en-US"/>
        </w:rPr>
        <w:t>th</w:t>
      </w:r>
      <w:r>
        <w:rPr>
          <w:rFonts w:ascii="Verdana" w:hAnsi="Verdana"/>
          <w:sz w:val="24"/>
          <w:szCs w:val="24"/>
          <w:lang w:val="en-US"/>
        </w:rPr>
        <w:t xml:space="preserve"> September, 2021 passed by the learned Assessing Officer, the Deputy Commissioner of Income-tax, Central Circle-1, Udaipur</w:t>
      </w:r>
      <w:r w:rsidR="001F01CD">
        <w:rPr>
          <w:rFonts w:ascii="Verdana" w:hAnsi="Verdana"/>
          <w:sz w:val="24"/>
          <w:szCs w:val="24"/>
          <w:lang w:val="en-US"/>
        </w:rPr>
        <w:t xml:space="preserve"> for the assessment year 2014-15</w:t>
      </w:r>
      <w:r>
        <w:rPr>
          <w:rFonts w:ascii="Verdana" w:hAnsi="Verdana"/>
          <w:sz w:val="24"/>
          <w:szCs w:val="24"/>
          <w:lang w:val="en-US"/>
        </w:rPr>
        <w:t xml:space="preserve"> under section 153A read with Section 143 (3) of the Income-tax Act. 1961 (the ‘Act’) on the following grounds which are without prejudice to each other: </w:t>
      </w:r>
    </w:p>
    <w:p w:rsidR="00790E43" w:rsidRDefault="00A826AD" w:rsidP="005456EA">
      <w:pPr>
        <w:pStyle w:val="ListParagraph"/>
        <w:numPr>
          <w:ilvl w:val="0"/>
          <w:numId w:val="1"/>
        </w:numPr>
        <w:rPr>
          <w:rFonts w:ascii="Verdana" w:hAnsi="Verdana"/>
          <w:sz w:val="24"/>
          <w:szCs w:val="24"/>
          <w:lang w:val="en-US"/>
        </w:rPr>
      </w:pPr>
      <w:r>
        <w:rPr>
          <w:rFonts w:ascii="Verdana" w:hAnsi="Verdana"/>
          <w:sz w:val="24"/>
          <w:szCs w:val="24"/>
          <w:lang w:val="en-US"/>
        </w:rPr>
        <w:t xml:space="preserve">On the facts and in the circumstances of the case and in law, learned Assessing Officer (In short, the ‘AO’) has proceeded to assume jurisdiction without following the due process envisaged </w:t>
      </w:r>
      <w:r w:rsidR="00790E43">
        <w:rPr>
          <w:rFonts w:ascii="Verdana" w:hAnsi="Verdana"/>
          <w:sz w:val="24"/>
          <w:szCs w:val="24"/>
          <w:lang w:val="en-US"/>
        </w:rPr>
        <w:t>for completion of assessment in case of search provided in sections 153A and 153C of the Act.</w:t>
      </w:r>
    </w:p>
    <w:p w:rsidR="00790E43" w:rsidRDefault="00790E43" w:rsidP="005456EA">
      <w:pPr>
        <w:pStyle w:val="ListParagraph"/>
        <w:numPr>
          <w:ilvl w:val="0"/>
          <w:numId w:val="1"/>
        </w:numPr>
        <w:rPr>
          <w:rFonts w:ascii="Verdana" w:hAnsi="Verdana"/>
          <w:sz w:val="24"/>
          <w:szCs w:val="24"/>
          <w:lang w:val="en-US"/>
        </w:rPr>
      </w:pPr>
      <w:r>
        <w:rPr>
          <w:rFonts w:ascii="Verdana" w:hAnsi="Verdana"/>
          <w:sz w:val="24"/>
          <w:szCs w:val="24"/>
          <w:lang w:val="en-US"/>
        </w:rPr>
        <w:t>On the facts and in the circumstances of the case and in law, learned AO has thus acted without jurisdiction and the assessment made is ab initio void, illegal and bad-in-law requiring quashing of the same.</w:t>
      </w:r>
    </w:p>
    <w:p w:rsidR="00790E43" w:rsidRDefault="00790E43" w:rsidP="005456EA">
      <w:pPr>
        <w:pStyle w:val="ListParagraph"/>
        <w:numPr>
          <w:ilvl w:val="0"/>
          <w:numId w:val="1"/>
        </w:numPr>
        <w:rPr>
          <w:rFonts w:ascii="Verdana" w:hAnsi="Verdana"/>
          <w:sz w:val="24"/>
          <w:szCs w:val="24"/>
          <w:lang w:val="en-US"/>
        </w:rPr>
      </w:pPr>
      <w:r>
        <w:rPr>
          <w:rFonts w:ascii="Verdana" w:hAnsi="Verdana"/>
          <w:sz w:val="24"/>
          <w:szCs w:val="24"/>
          <w:lang w:val="en-US"/>
        </w:rPr>
        <w:t>On the facts and in the circumstances of the case and in law, learned AO has failed to record satisfaction in the case of the person searched from whom recovery of the document was made and seized which allegedly pertained to the appellant-assessee or information contained therein allegedly related to the appellant-assessee.</w:t>
      </w:r>
    </w:p>
    <w:p w:rsidR="00800432" w:rsidRDefault="00800432" w:rsidP="005456EA">
      <w:pPr>
        <w:pStyle w:val="ListParagraph"/>
        <w:numPr>
          <w:ilvl w:val="0"/>
          <w:numId w:val="1"/>
        </w:numPr>
        <w:rPr>
          <w:rFonts w:ascii="Verdana" w:hAnsi="Verdana"/>
          <w:sz w:val="24"/>
          <w:szCs w:val="24"/>
          <w:lang w:val="en-US"/>
        </w:rPr>
      </w:pPr>
      <w:r>
        <w:rPr>
          <w:rFonts w:ascii="Verdana" w:hAnsi="Verdana"/>
          <w:sz w:val="24"/>
          <w:szCs w:val="24"/>
          <w:lang w:val="en-US"/>
        </w:rPr>
        <w:t>On the facts and in the circumstances of the case and in law, learned AO wrongly assumed that the appellant-assessee is the “owner” of the BWR Trust which is an altogether distinct, separate and different entity in law.</w:t>
      </w:r>
    </w:p>
    <w:p w:rsidR="00790E43" w:rsidRDefault="00800432" w:rsidP="005456EA">
      <w:pPr>
        <w:pStyle w:val="ListParagraph"/>
        <w:numPr>
          <w:ilvl w:val="0"/>
          <w:numId w:val="1"/>
        </w:numPr>
        <w:rPr>
          <w:rFonts w:ascii="Verdana" w:hAnsi="Verdana"/>
          <w:sz w:val="24"/>
          <w:szCs w:val="24"/>
          <w:lang w:val="en-US"/>
        </w:rPr>
      </w:pPr>
      <w:r>
        <w:rPr>
          <w:rFonts w:ascii="Verdana" w:hAnsi="Verdana"/>
          <w:sz w:val="24"/>
          <w:szCs w:val="24"/>
          <w:lang w:val="en-US"/>
        </w:rPr>
        <w:t xml:space="preserve">On the facts and in the circumstances of the case and in law, learned AO erred in rejecting the explanations given to him in the form of documentary evidences being deed of family settlement, Trust Deed and </w:t>
      </w:r>
      <w:r w:rsidR="00142543">
        <w:rPr>
          <w:rFonts w:ascii="Verdana" w:hAnsi="Verdana"/>
          <w:sz w:val="24"/>
          <w:szCs w:val="24"/>
          <w:lang w:val="en-US"/>
        </w:rPr>
        <w:t>bank accounts of the Trust and its corporate vehicle, Vibrant Properties Ltd in</w:t>
      </w:r>
      <w:r>
        <w:rPr>
          <w:rFonts w:ascii="Verdana" w:hAnsi="Verdana"/>
          <w:sz w:val="24"/>
          <w:szCs w:val="24"/>
          <w:lang w:val="en-US"/>
        </w:rPr>
        <w:t xml:space="preserve"> an arbitrary and capricious manner ignoring</w:t>
      </w:r>
      <w:r w:rsidR="00142543">
        <w:rPr>
          <w:rFonts w:ascii="Verdana" w:hAnsi="Verdana"/>
          <w:sz w:val="24"/>
          <w:szCs w:val="24"/>
          <w:lang w:val="en-US"/>
        </w:rPr>
        <w:t xml:space="preserve">, </w:t>
      </w:r>
      <w:r>
        <w:rPr>
          <w:rFonts w:ascii="Verdana" w:hAnsi="Verdana"/>
          <w:sz w:val="24"/>
          <w:szCs w:val="24"/>
          <w:lang w:val="en-US"/>
        </w:rPr>
        <w:t>overlooking</w:t>
      </w:r>
      <w:r w:rsidR="00142543">
        <w:rPr>
          <w:rFonts w:ascii="Verdana" w:hAnsi="Verdana"/>
          <w:sz w:val="24"/>
          <w:szCs w:val="24"/>
          <w:lang w:val="en-US"/>
        </w:rPr>
        <w:t xml:space="preserve"> and rejecting</w:t>
      </w:r>
      <w:r>
        <w:rPr>
          <w:rFonts w:ascii="Verdana" w:hAnsi="Verdana"/>
          <w:sz w:val="24"/>
          <w:szCs w:val="24"/>
          <w:lang w:val="en-US"/>
        </w:rPr>
        <w:t xml:space="preserve"> the </w:t>
      </w:r>
      <w:r w:rsidR="00142543">
        <w:rPr>
          <w:rFonts w:ascii="Verdana" w:hAnsi="Verdana"/>
          <w:sz w:val="24"/>
          <w:szCs w:val="24"/>
          <w:lang w:val="en-US"/>
        </w:rPr>
        <w:t>same.</w:t>
      </w:r>
      <w:r>
        <w:rPr>
          <w:rFonts w:ascii="Verdana" w:hAnsi="Verdana"/>
          <w:sz w:val="24"/>
          <w:szCs w:val="24"/>
          <w:lang w:val="en-US"/>
        </w:rPr>
        <w:t xml:space="preserve"> </w:t>
      </w:r>
    </w:p>
    <w:p w:rsidR="00142543" w:rsidRDefault="00142543" w:rsidP="005456EA">
      <w:pPr>
        <w:pStyle w:val="ListParagraph"/>
        <w:numPr>
          <w:ilvl w:val="0"/>
          <w:numId w:val="1"/>
        </w:numPr>
        <w:rPr>
          <w:rFonts w:ascii="Verdana" w:hAnsi="Verdana"/>
          <w:sz w:val="24"/>
          <w:szCs w:val="24"/>
          <w:lang w:val="en-US"/>
        </w:rPr>
      </w:pPr>
      <w:r>
        <w:rPr>
          <w:rFonts w:ascii="Verdana" w:hAnsi="Verdana"/>
          <w:sz w:val="24"/>
          <w:szCs w:val="24"/>
          <w:lang w:val="en-US"/>
        </w:rPr>
        <w:t xml:space="preserve">On the facts and in the circumstances of the case and in law, learned AO erred in holding that the appellant-assessee was required to disclose all assets outside India being an Indian resident ignoring the fact that the appellant-assessee is neither </w:t>
      </w:r>
      <w:r>
        <w:rPr>
          <w:rFonts w:ascii="Verdana" w:hAnsi="Verdana"/>
          <w:sz w:val="24"/>
          <w:szCs w:val="24"/>
          <w:lang w:val="en-US"/>
        </w:rPr>
        <w:lastRenderedPageBreak/>
        <w:t>shareholder nor director and was not signatory to bank accounts till 14thMay, 2013 of the corporate vehicle in Vibrant Properties Ltd within the trust structure.</w:t>
      </w:r>
    </w:p>
    <w:p w:rsidR="00142543" w:rsidRDefault="006F3B04" w:rsidP="005456EA">
      <w:pPr>
        <w:pStyle w:val="ListParagraph"/>
        <w:numPr>
          <w:ilvl w:val="0"/>
          <w:numId w:val="1"/>
        </w:numPr>
        <w:rPr>
          <w:rFonts w:ascii="Verdana" w:hAnsi="Verdana"/>
          <w:sz w:val="24"/>
          <w:szCs w:val="24"/>
          <w:lang w:val="en-US"/>
        </w:rPr>
      </w:pPr>
      <w:r>
        <w:rPr>
          <w:rFonts w:ascii="Verdana" w:hAnsi="Verdana"/>
          <w:sz w:val="24"/>
          <w:szCs w:val="24"/>
          <w:lang w:val="en-US"/>
        </w:rPr>
        <w:t xml:space="preserve">On the facts and in the circumstances of the case and in law, learned AO erred in holding that she was required to file declaration under Chapter Vi of the Black Money (Undisclosed Foreign Income and Assets </w:t>
      </w:r>
      <w:r w:rsidR="009E5ACA">
        <w:rPr>
          <w:rFonts w:ascii="Verdana" w:hAnsi="Verdana"/>
          <w:sz w:val="24"/>
          <w:szCs w:val="24"/>
          <w:lang w:val="en-US"/>
        </w:rPr>
        <w:t>and Imposition of Tax Act, 2015since appellant-assessee does not fall within the ambit of twin conditions specified in the said Chapter.</w:t>
      </w:r>
    </w:p>
    <w:p w:rsidR="00790E43" w:rsidRDefault="00434CD7" w:rsidP="00790E43">
      <w:pPr>
        <w:pStyle w:val="ListParagraph"/>
        <w:numPr>
          <w:ilvl w:val="0"/>
          <w:numId w:val="1"/>
        </w:numPr>
        <w:rPr>
          <w:rFonts w:ascii="Verdana" w:hAnsi="Verdana"/>
          <w:sz w:val="24"/>
          <w:szCs w:val="24"/>
          <w:lang w:val="en-US"/>
        </w:rPr>
      </w:pPr>
      <w:r w:rsidRPr="00434CD7">
        <w:rPr>
          <w:rFonts w:ascii="Verdana" w:hAnsi="Verdana"/>
          <w:sz w:val="24"/>
          <w:szCs w:val="24"/>
          <w:lang w:val="en-US"/>
        </w:rPr>
        <w:t>On the facts and in the circumstances of the case and in law, learned AO</w:t>
      </w:r>
      <w:r w:rsidRPr="00434CD7">
        <w:rPr>
          <w:rFonts w:ascii="Verdana" w:hAnsi="Verdana"/>
          <w:sz w:val="24"/>
          <w:szCs w:val="24"/>
          <w:lang w:val="en-US"/>
        </w:rPr>
        <w:t xml:space="preserve"> erred in holding that the appellant-assessee maintained account with Hinduja Bank,</w:t>
      </w:r>
      <w:r>
        <w:rPr>
          <w:rFonts w:ascii="Verdana" w:hAnsi="Verdana"/>
          <w:sz w:val="24"/>
          <w:szCs w:val="24"/>
          <w:lang w:val="en-US"/>
        </w:rPr>
        <w:t xml:space="preserve"> </w:t>
      </w:r>
      <w:r w:rsidRPr="00434CD7">
        <w:rPr>
          <w:rFonts w:ascii="Verdana" w:hAnsi="Verdana"/>
          <w:sz w:val="24"/>
          <w:szCs w:val="24"/>
          <w:lang w:val="en-US"/>
        </w:rPr>
        <w:t xml:space="preserve">Switzerland </w:t>
      </w:r>
      <w:r>
        <w:rPr>
          <w:rFonts w:ascii="Verdana" w:hAnsi="Verdana"/>
          <w:sz w:val="24"/>
          <w:szCs w:val="24"/>
          <w:lang w:val="en-US"/>
        </w:rPr>
        <w:t>and that the account belonging to the family trust was a story</w:t>
      </w:r>
    </w:p>
    <w:p w:rsidR="00434CD7" w:rsidRDefault="00434CD7" w:rsidP="00790E43">
      <w:pPr>
        <w:pStyle w:val="ListParagraph"/>
        <w:numPr>
          <w:ilvl w:val="0"/>
          <w:numId w:val="1"/>
        </w:numPr>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holding that no reliable evidence was brought on records by the appellant-assessee to establish that the funds belongs to family trust</w:t>
      </w:r>
      <w:r w:rsidR="00541598">
        <w:rPr>
          <w:rFonts w:ascii="Verdana" w:hAnsi="Verdana"/>
          <w:sz w:val="24"/>
          <w:szCs w:val="24"/>
          <w:lang w:val="en-US"/>
        </w:rPr>
        <w:t>.</w:t>
      </w:r>
    </w:p>
    <w:p w:rsidR="00541598" w:rsidRDefault="00541598" w:rsidP="00541598">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holding that no documentary evidence in support of management of funds being controlled by someone outside India was provided.</w:t>
      </w:r>
    </w:p>
    <w:p w:rsidR="00541598" w:rsidRDefault="00541598" w:rsidP="00541598">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holding that the bank account was opened by the appellant-assessee.</w:t>
      </w:r>
    </w:p>
    <w:p w:rsidR="00541598" w:rsidRDefault="00541598" w:rsidP="00541598">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holding that the appellant-assessee was beneficiary for (i) the credit entries in the bank account and (ii) income earned.</w:t>
      </w:r>
    </w:p>
    <w:p w:rsidR="00541598" w:rsidRDefault="00541598" w:rsidP="00541598">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w:t>
      </w:r>
      <w:proofErr w:type="spellStart"/>
      <w:r>
        <w:rPr>
          <w:rFonts w:ascii="Verdana" w:hAnsi="Verdana"/>
          <w:sz w:val="24"/>
          <w:szCs w:val="24"/>
          <w:lang w:val="en-US"/>
        </w:rPr>
        <w:t>hoding</w:t>
      </w:r>
      <w:proofErr w:type="spellEnd"/>
      <w:r>
        <w:rPr>
          <w:rFonts w:ascii="Verdana" w:hAnsi="Verdana"/>
          <w:sz w:val="24"/>
          <w:szCs w:val="24"/>
          <w:lang w:val="en-US"/>
        </w:rPr>
        <w:t xml:space="preserve"> that the explanation given by the appellant-assessee was false &amp; unreliable.</w:t>
      </w:r>
    </w:p>
    <w:p w:rsidR="00541598" w:rsidRDefault="00541598" w:rsidP="00541598">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holding that no documentary evidence was furnished in support of the explanation that fund of </w:t>
      </w:r>
    </w:p>
    <w:p w:rsidR="00541598" w:rsidRDefault="00541598" w:rsidP="00541598">
      <w:pPr>
        <w:pStyle w:val="ListParagraph"/>
        <w:tabs>
          <w:tab w:val="left" w:pos="1134"/>
        </w:tabs>
        <w:ind w:left="1080"/>
        <w:rPr>
          <w:rFonts w:ascii="Verdana" w:hAnsi="Verdana"/>
          <w:sz w:val="24"/>
          <w:szCs w:val="24"/>
          <w:lang w:val="en-US"/>
        </w:rPr>
      </w:pPr>
      <w:r>
        <w:rPr>
          <w:rFonts w:ascii="Verdana" w:hAnsi="Verdana"/>
          <w:sz w:val="24"/>
          <w:szCs w:val="24"/>
          <w:lang w:val="en-US"/>
        </w:rPr>
        <w:t>USD 1, 20, 00,000/- was to be given to the appellant-assessee by Dr. Kirti Jain.</w:t>
      </w:r>
    </w:p>
    <w:p w:rsidR="00541598" w:rsidRDefault="00541598" w:rsidP="00541598">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holding that explanation </w:t>
      </w:r>
      <w:r w:rsidR="00EE2839">
        <w:rPr>
          <w:rFonts w:ascii="Verdana" w:hAnsi="Verdana"/>
          <w:sz w:val="24"/>
          <w:szCs w:val="24"/>
          <w:lang w:val="en-US"/>
        </w:rPr>
        <w:t xml:space="preserve">given by the appellant-assessee to the effect that she did not withdraw for herself or for the beneficiaries is neither genuine nor </w:t>
      </w:r>
      <w:proofErr w:type="spellStart"/>
      <w:r w:rsidR="00EE2839">
        <w:rPr>
          <w:rFonts w:ascii="Verdana" w:hAnsi="Verdana"/>
          <w:sz w:val="24"/>
          <w:szCs w:val="24"/>
          <w:lang w:val="en-US"/>
        </w:rPr>
        <w:t>relaiable</w:t>
      </w:r>
      <w:proofErr w:type="spellEnd"/>
      <w:r w:rsidR="00EE2839">
        <w:rPr>
          <w:rFonts w:ascii="Verdana" w:hAnsi="Verdana"/>
          <w:sz w:val="24"/>
          <w:szCs w:val="24"/>
          <w:lang w:val="en-US"/>
        </w:rPr>
        <w:t>.</w:t>
      </w:r>
    </w:p>
    <w:p w:rsidR="00EE2839" w:rsidRDefault="00EE2839" w:rsidP="00541598">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lastRenderedPageBreak/>
        <w:t>On the facts and in the circumstances of the case and in law, learned AO</w:t>
      </w:r>
      <w:r>
        <w:rPr>
          <w:rFonts w:ascii="Verdana" w:hAnsi="Verdana"/>
          <w:sz w:val="24"/>
          <w:szCs w:val="24"/>
          <w:lang w:val="en-US"/>
        </w:rPr>
        <w:t xml:space="preserve"> erred in holding that the explanation given by the appellant-assessee to the effect that she did not had control over the family trust was neither genuine nor reliable.</w:t>
      </w:r>
    </w:p>
    <w:p w:rsidR="00EE2839" w:rsidRDefault="00EE2839" w:rsidP="00541598">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holding that the bank account with Hinduja Bank, Switzerland belonged to the appellant-assessee.</w:t>
      </w:r>
    </w:p>
    <w:p w:rsidR="00EE2839" w:rsidRDefault="00EE2839" w:rsidP="00541598">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coming to the above conclusion only on the basis of instruction for the transfer of an amount of </w:t>
      </w:r>
    </w:p>
    <w:p w:rsidR="00EE2839" w:rsidRDefault="00EE2839" w:rsidP="00EE2839">
      <w:pPr>
        <w:pStyle w:val="ListParagraph"/>
        <w:tabs>
          <w:tab w:val="left" w:pos="1134"/>
        </w:tabs>
        <w:ind w:left="1080"/>
        <w:rPr>
          <w:rFonts w:ascii="Verdana" w:hAnsi="Verdana"/>
          <w:sz w:val="24"/>
          <w:szCs w:val="24"/>
          <w:lang w:val="en-US"/>
        </w:rPr>
      </w:pPr>
      <w:r>
        <w:rPr>
          <w:rFonts w:ascii="Verdana" w:hAnsi="Verdana"/>
          <w:sz w:val="24"/>
          <w:szCs w:val="24"/>
          <w:lang w:val="en-US"/>
        </w:rPr>
        <w:t>USD 5, 00,000/- to Dubai Bank.</w:t>
      </w:r>
    </w:p>
    <w:p w:rsidR="004C21CB" w:rsidRDefault="004C21CB" w:rsidP="004C21CB">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holding that credit balances, interest, coupon income, and dividends income from various sources belonged to the appellant-assessee.</w:t>
      </w:r>
    </w:p>
    <w:p w:rsidR="00BC054A" w:rsidRDefault="004C21CB" w:rsidP="004C21CB">
      <w:pPr>
        <w:pStyle w:val="ListParagraph"/>
        <w:numPr>
          <w:ilvl w:val="0"/>
          <w:numId w:val="1"/>
        </w:numPr>
        <w:tabs>
          <w:tab w:val="left" w:pos="1134"/>
        </w:tabs>
        <w:rPr>
          <w:rFonts w:ascii="Verdana" w:hAnsi="Verdana"/>
          <w:sz w:val="24"/>
          <w:szCs w:val="24"/>
          <w:lang w:val="en-US"/>
        </w:rPr>
      </w:pPr>
      <w:r>
        <w:rPr>
          <w:rFonts w:ascii="Verdana" w:hAnsi="Verdana"/>
          <w:sz w:val="24"/>
          <w:szCs w:val="24"/>
          <w:lang w:val="en-US"/>
        </w:rPr>
        <w:t>On the facts and in the circumstances of the case and in law, learned AO</w:t>
      </w:r>
      <w:r>
        <w:rPr>
          <w:rFonts w:ascii="Verdana" w:hAnsi="Verdana"/>
          <w:sz w:val="24"/>
          <w:szCs w:val="24"/>
          <w:lang w:val="en-US"/>
        </w:rPr>
        <w:t xml:space="preserve"> erred in determining total income at Rs. 101, 68, 34,710/- as against the income of Rs. 8, 79,520/- disclosed in the return of income by the appellant-assessee.</w:t>
      </w:r>
    </w:p>
    <w:p w:rsidR="004C21CB" w:rsidRPr="00BC054A" w:rsidRDefault="00BC054A" w:rsidP="00BC054A">
      <w:pPr>
        <w:tabs>
          <w:tab w:val="left" w:pos="1134"/>
        </w:tabs>
        <w:rPr>
          <w:rFonts w:ascii="Verdana" w:hAnsi="Verdana"/>
          <w:sz w:val="24"/>
          <w:szCs w:val="24"/>
          <w:lang w:val="en-US"/>
        </w:rPr>
      </w:pPr>
      <w:r>
        <w:rPr>
          <w:rFonts w:ascii="Verdana" w:hAnsi="Verdana"/>
          <w:sz w:val="24"/>
          <w:szCs w:val="24"/>
          <w:lang w:val="en-US"/>
        </w:rPr>
        <w:t>The Appellant-assessee</w:t>
      </w:r>
      <w:r w:rsidRPr="00BC054A">
        <w:rPr>
          <w:rFonts w:ascii="Verdana" w:hAnsi="Verdana"/>
          <w:sz w:val="24"/>
          <w:szCs w:val="24"/>
          <w:lang w:val="en-US"/>
        </w:rPr>
        <w:t xml:space="preserve"> craves leave to add, alter, amend,</w:t>
      </w:r>
      <w:r>
        <w:rPr>
          <w:rFonts w:ascii="Verdana" w:hAnsi="Verdana"/>
          <w:sz w:val="24"/>
          <w:szCs w:val="24"/>
          <w:lang w:val="en-US"/>
        </w:rPr>
        <w:t xml:space="preserve"> modify, revise</w:t>
      </w:r>
      <w:bookmarkStart w:id="0" w:name="_GoBack"/>
      <w:bookmarkEnd w:id="0"/>
      <w:r w:rsidRPr="00BC054A">
        <w:rPr>
          <w:rFonts w:ascii="Verdana" w:hAnsi="Verdana"/>
          <w:sz w:val="24"/>
          <w:szCs w:val="24"/>
          <w:lang w:val="en-US"/>
        </w:rPr>
        <w:t xml:space="preserve"> or withdraw any of the above grounds at or before the hearing of the appeal. </w:t>
      </w:r>
      <w:r w:rsidR="004C21CB" w:rsidRPr="00BC054A">
        <w:rPr>
          <w:rFonts w:ascii="Verdana" w:hAnsi="Verdana"/>
          <w:sz w:val="24"/>
          <w:szCs w:val="24"/>
          <w:lang w:val="en-US"/>
        </w:rPr>
        <w:t xml:space="preserve"> </w:t>
      </w:r>
    </w:p>
    <w:p w:rsidR="005456EA" w:rsidRPr="005456EA" w:rsidRDefault="00790E43" w:rsidP="00790E43">
      <w:pPr>
        <w:pStyle w:val="ListParagraph"/>
        <w:ind w:left="1080"/>
        <w:rPr>
          <w:rFonts w:ascii="Verdana" w:hAnsi="Verdana"/>
          <w:sz w:val="24"/>
          <w:szCs w:val="24"/>
          <w:lang w:val="en-US"/>
        </w:rPr>
      </w:pPr>
      <w:r>
        <w:rPr>
          <w:rFonts w:ascii="Verdana" w:hAnsi="Verdana"/>
          <w:sz w:val="24"/>
          <w:szCs w:val="24"/>
          <w:lang w:val="en-US"/>
        </w:rPr>
        <w:t xml:space="preserve">    </w:t>
      </w:r>
    </w:p>
    <w:p w:rsidR="00A10BA7" w:rsidRDefault="00A10BA7"/>
    <w:sectPr w:rsidR="00A10BA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76C" w:rsidRDefault="009E676C" w:rsidP="00B21DC5">
      <w:pPr>
        <w:spacing w:after="0" w:line="240" w:lineRule="auto"/>
      </w:pPr>
      <w:r>
        <w:separator/>
      </w:r>
    </w:p>
  </w:endnote>
  <w:endnote w:type="continuationSeparator" w:id="0">
    <w:p w:rsidR="009E676C" w:rsidRDefault="009E676C" w:rsidP="00B2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049839"/>
      <w:docPartObj>
        <w:docPartGallery w:val="Page Numbers (Bottom of Page)"/>
        <w:docPartUnique/>
      </w:docPartObj>
    </w:sdtPr>
    <w:sdtEndPr>
      <w:rPr>
        <w:noProof/>
      </w:rPr>
    </w:sdtEndPr>
    <w:sdtContent>
      <w:p w:rsidR="00B21DC5" w:rsidRDefault="00B21DC5">
        <w:pPr>
          <w:pStyle w:val="Footer"/>
          <w:jc w:val="right"/>
        </w:pPr>
        <w:r>
          <w:fldChar w:fldCharType="begin"/>
        </w:r>
        <w:r>
          <w:instrText xml:space="preserve"> PAGE   \* MERGEFORMAT </w:instrText>
        </w:r>
        <w:r>
          <w:fldChar w:fldCharType="separate"/>
        </w:r>
        <w:r w:rsidR="00BC054A">
          <w:rPr>
            <w:noProof/>
          </w:rPr>
          <w:t>1</w:t>
        </w:r>
        <w:r>
          <w:rPr>
            <w:noProof/>
          </w:rPr>
          <w:fldChar w:fldCharType="end"/>
        </w:r>
      </w:p>
    </w:sdtContent>
  </w:sdt>
  <w:p w:rsidR="00B21DC5" w:rsidRDefault="00B21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76C" w:rsidRDefault="009E676C" w:rsidP="00B21DC5">
      <w:pPr>
        <w:spacing w:after="0" w:line="240" w:lineRule="auto"/>
      </w:pPr>
      <w:r>
        <w:separator/>
      </w:r>
    </w:p>
  </w:footnote>
  <w:footnote w:type="continuationSeparator" w:id="0">
    <w:p w:rsidR="009E676C" w:rsidRDefault="009E676C" w:rsidP="00B21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628EC"/>
    <w:multiLevelType w:val="hybridMultilevel"/>
    <w:tmpl w:val="B274A25E"/>
    <w:lvl w:ilvl="0" w:tplc="1958BC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11"/>
    <w:rsid w:val="00142543"/>
    <w:rsid w:val="00162411"/>
    <w:rsid w:val="001B6069"/>
    <w:rsid w:val="001F01CD"/>
    <w:rsid w:val="00434CD7"/>
    <w:rsid w:val="004754B7"/>
    <w:rsid w:val="004C21CB"/>
    <w:rsid w:val="00541598"/>
    <w:rsid w:val="005456EA"/>
    <w:rsid w:val="006F3B04"/>
    <w:rsid w:val="00737676"/>
    <w:rsid w:val="00790E43"/>
    <w:rsid w:val="00800432"/>
    <w:rsid w:val="009E5ACA"/>
    <w:rsid w:val="009E676C"/>
    <w:rsid w:val="00A10BA7"/>
    <w:rsid w:val="00A826AD"/>
    <w:rsid w:val="00B21DC5"/>
    <w:rsid w:val="00BC054A"/>
    <w:rsid w:val="00DE07DD"/>
    <w:rsid w:val="00EE28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6EA"/>
    <w:pPr>
      <w:ind w:left="720"/>
      <w:contextualSpacing/>
    </w:pPr>
  </w:style>
  <w:style w:type="paragraph" w:styleId="Header">
    <w:name w:val="header"/>
    <w:basedOn w:val="Normal"/>
    <w:link w:val="HeaderChar"/>
    <w:uiPriority w:val="99"/>
    <w:unhideWhenUsed/>
    <w:rsid w:val="00B2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DC5"/>
  </w:style>
  <w:style w:type="paragraph" w:styleId="Footer">
    <w:name w:val="footer"/>
    <w:basedOn w:val="Normal"/>
    <w:link w:val="FooterChar"/>
    <w:uiPriority w:val="99"/>
    <w:unhideWhenUsed/>
    <w:rsid w:val="00B2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D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6EA"/>
    <w:pPr>
      <w:ind w:left="720"/>
      <w:contextualSpacing/>
    </w:pPr>
  </w:style>
  <w:style w:type="paragraph" w:styleId="Header">
    <w:name w:val="header"/>
    <w:basedOn w:val="Normal"/>
    <w:link w:val="HeaderChar"/>
    <w:uiPriority w:val="99"/>
    <w:unhideWhenUsed/>
    <w:rsid w:val="00B2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DC5"/>
  </w:style>
  <w:style w:type="paragraph" w:styleId="Footer">
    <w:name w:val="footer"/>
    <w:basedOn w:val="Normal"/>
    <w:link w:val="FooterChar"/>
    <w:uiPriority w:val="99"/>
    <w:unhideWhenUsed/>
    <w:rsid w:val="00B2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2963</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13</cp:revision>
  <dcterms:created xsi:type="dcterms:W3CDTF">2021-10-15T15:55:00Z</dcterms:created>
  <dcterms:modified xsi:type="dcterms:W3CDTF">2021-10-23T08:47:00Z</dcterms:modified>
</cp:coreProperties>
</file>