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73" w:rsidRPr="00C1091F" w:rsidRDefault="00AA0D73" w:rsidP="00AA0D73">
      <w:pPr>
        <w:spacing w:line="360" w:lineRule="auto"/>
        <w:ind w:left="709"/>
        <w:jc w:val="both"/>
        <w:rPr>
          <w:rFonts w:ascii="Arial" w:eastAsia="Times New Roman" w:hAnsi="Arial" w:cs="Arial"/>
          <w:b/>
          <w:bCs/>
          <w:color w:val="000000"/>
          <w:sz w:val="32"/>
          <w:szCs w:val="32"/>
        </w:rPr>
      </w:pPr>
    </w:p>
    <w:p w:rsidR="00AA0D73" w:rsidRPr="00C1091F" w:rsidRDefault="00AA0D73" w:rsidP="00AA0D73">
      <w:pPr>
        <w:spacing w:line="360" w:lineRule="auto"/>
        <w:ind w:left="709"/>
        <w:jc w:val="both"/>
        <w:rPr>
          <w:rFonts w:ascii="Arial" w:eastAsia="Times New Roman" w:hAnsi="Arial" w:cs="Arial"/>
          <w:b/>
          <w:bCs/>
          <w:color w:val="000000"/>
          <w:sz w:val="32"/>
          <w:szCs w:val="32"/>
        </w:rPr>
      </w:pP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ab/>
      </w:r>
      <w:r w:rsidRPr="00C1091F">
        <w:rPr>
          <w:rFonts w:ascii="Arial" w:eastAsia="Times New Roman" w:hAnsi="Arial" w:cs="Arial"/>
          <w:b/>
          <w:bCs/>
          <w:color w:val="000000"/>
          <w:sz w:val="32"/>
          <w:szCs w:val="32"/>
        </w:rPr>
        <w:tab/>
      </w:r>
      <w:r w:rsidRPr="00C1091F">
        <w:rPr>
          <w:rFonts w:ascii="Arial" w:eastAsia="Times New Roman" w:hAnsi="Arial" w:cs="Arial"/>
          <w:b/>
          <w:bCs/>
          <w:color w:val="000000"/>
          <w:sz w:val="32"/>
          <w:szCs w:val="32"/>
        </w:rPr>
        <w:tab/>
      </w:r>
      <w:r w:rsidRPr="00C1091F">
        <w:rPr>
          <w:rFonts w:ascii="Arial" w:eastAsia="Times New Roman" w:hAnsi="Arial" w:cs="Arial"/>
          <w:b/>
          <w:bCs/>
          <w:color w:val="000000"/>
          <w:sz w:val="32"/>
          <w:szCs w:val="32"/>
        </w:rPr>
        <w:tab/>
      </w:r>
      <w:r w:rsidRPr="00C1091F">
        <w:rPr>
          <w:rFonts w:ascii="Arial" w:eastAsia="Times New Roman" w:hAnsi="Arial" w:cs="Arial"/>
          <w:b/>
          <w:bCs/>
          <w:color w:val="000000"/>
          <w:sz w:val="32"/>
          <w:szCs w:val="32"/>
        </w:rPr>
        <w:tab/>
      </w:r>
      <w:r w:rsidRPr="00C1091F">
        <w:rPr>
          <w:rFonts w:ascii="Arial" w:eastAsia="Times New Roman" w:hAnsi="Arial" w:cs="Arial"/>
          <w:b/>
          <w:bCs/>
          <w:color w:val="000000"/>
          <w:sz w:val="32"/>
          <w:szCs w:val="32"/>
        </w:rPr>
        <w:tab/>
        <w:t>WITHOUT PREJUDICE</w:t>
      </w:r>
    </w:p>
    <w:p w:rsidR="00AA0D73" w:rsidRPr="00C1091F" w:rsidRDefault="00AA0D73" w:rsidP="00AA0D73">
      <w:pPr>
        <w:spacing w:line="360" w:lineRule="auto"/>
        <w:ind w:left="709"/>
        <w:jc w:val="both"/>
        <w:rPr>
          <w:rFonts w:ascii="Arial" w:eastAsia="Times New Roman" w:hAnsi="Arial" w:cs="Arial"/>
          <w:color w:val="000000"/>
          <w:sz w:val="32"/>
          <w:szCs w:val="32"/>
        </w:rPr>
      </w:pPr>
      <w:r w:rsidRPr="00C1091F">
        <w:rPr>
          <w:rFonts w:ascii="Arial" w:eastAsia="Times New Roman" w:hAnsi="Arial" w:cs="Arial"/>
          <w:color w:val="000000"/>
          <w:sz w:val="32"/>
          <w:szCs w:val="32"/>
        </w:rPr>
        <w:t>Date : 05</w:t>
      </w:r>
      <w:r w:rsidRPr="00C1091F">
        <w:rPr>
          <w:rFonts w:ascii="Arial" w:eastAsia="Times New Roman" w:hAnsi="Arial" w:cs="Arial"/>
          <w:color w:val="000000"/>
          <w:sz w:val="32"/>
          <w:szCs w:val="32"/>
          <w:vertAlign w:val="superscript"/>
        </w:rPr>
        <w:t>th</w:t>
      </w:r>
      <w:r w:rsidRPr="00C1091F">
        <w:rPr>
          <w:rFonts w:ascii="Arial" w:eastAsia="Times New Roman" w:hAnsi="Arial" w:cs="Arial"/>
          <w:color w:val="000000"/>
          <w:sz w:val="32"/>
          <w:szCs w:val="32"/>
        </w:rPr>
        <w:t xml:space="preserve">  March 2023.</w:t>
      </w:r>
    </w:p>
    <w:p w:rsidR="00AA0D73" w:rsidRPr="00C1091F" w:rsidRDefault="00AA0D73" w:rsidP="00AA0D73">
      <w:pPr>
        <w:spacing w:line="360" w:lineRule="auto"/>
        <w:ind w:left="709"/>
        <w:jc w:val="both"/>
        <w:rPr>
          <w:rFonts w:ascii="Arial" w:eastAsia="Times New Roman" w:hAnsi="Arial" w:cs="Arial"/>
          <w:color w:val="000000"/>
          <w:sz w:val="32"/>
          <w:szCs w:val="32"/>
        </w:rPr>
      </w:pPr>
      <w:r w:rsidRPr="00C1091F">
        <w:rPr>
          <w:rFonts w:ascii="Arial" w:eastAsia="Times New Roman" w:hAnsi="Arial" w:cs="Arial"/>
          <w:color w:val="000000"/>
          <w:sz w:val="32"/>
          <w:szCs w:val="32"/>
        </w:rPr>
        <w:t>To,</w:t>
      </w:r>
    </w:p>
    <w:p w:rsidR="00AA0D73" w:rsidRPr="00C1091F" w:rsidRDefault="00AA0D73" w:rsidP="00AA0D73">
      <w:pPr>
        <w:pStyle w:val="NoSpacing"/>
        <w:spacing w:line="360" w:lineRule="auto"/>
        <w:ind w:left="720"/>
        <w:rPr>
          <w:rFonts w:ascii="Arial" w:eastAsia="Times New Roman" w:hAnsi="Arial" w:cs="Arial"/>
          <w:sz w:val="32"/>
          <w:szCs w:val="32"/>
        </w:rPr>
      </w:pPr>
      <w:r w:rsidRPr="00C1091F">
        <w:rPr>
          <w:rFonts w:ascii="Arial" w:eastAsia="Times New Roman" w:hAnsi="Arial" w:cs="Arial"/>
          <w:sz w:val="32"/>
          <w:szCs w:val="32"/>
        </w:rPr>
        <w:t>The JCIT, CENTRAL RANGE,</w:t>
      </w:r>
    </w:p>
    <w:p w:rsidR="00AA0D73" w:rsidRPr="00C1091F" w:rsidRDefault="00AA0D73" w:rsidP="00AA0D73">
      <w:pPr>
        <w:pStyle w:val="NoSpacing"/>
        <w:spacing w:line="360" w:lineRule="auto"/>
        <w:ind w:left="720"/>
        <w:rPr>
          <w:rFonts w:ascii="Arial" w:hAnsi="Arial" w:cs="Arial"/>
          <w:sz w:val="32"/>
          <w:szCs w:val="32"/>
        </w:rPr>
      </w:pPr>
      <w:r w:rsidRPr="00C1091F">
        <w:rPr>
          <w:rFonts w:ascii="Arial" w:eastAsia="Times New Roman" w:hAnsi="Arial" w:cs="Arial"/>
          <w:sz w:val="32"/>
          <w:szCs w:val="32"/>
        </w:rPr>
        <w:t>UDAIPUR, Rajasthan 313001.</w:t>
      </w:r>
    </w:p>
    <w:p w:rsidR="00AA0D73" w:rsidRPr="00C1091F" w:rsidRDefault="00AA0D73" w:rsidP="00AA0D73">
      <w:pPr>
        <w:pStyle w:val="NoSpacing"/>
        <w:spacing w:line="360" w:lineRule="auto"/>
        <w:ind w:left="720"/>
        <w:rPr>
          <w:rFonts w:ascii="Arial" w:eastAsiaTheme="minorHAnsi" w:hAnsi="Arial" w:cs="Arial"/>
          <w:sz w:val="32"/>
          <w:szCs w:val="32"/>
        </w:rPr>
      </w:pP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 xml:space="preserve">Ref: Notice dated 02.02.2023 issued u/s 10 of Black Money (UFIA) and Imposition of Tax Act, 2015 bearing no. ITBA/COM/F/17/2022-23/1049363321(1) </w:t>
      </w: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Ref : Our reply dated 21</w:t>
      </w:r>
      <w:r w:rsidRPr="00C1091F">
        <w:rPr>
          <w:rFonts w:ascii="Arial" w:eastAsia="Times New Roman" w:hAnsi="Arial" w:cs="Arial"/>
          <w:b/>
          <w:bCs/>
          <w:color w:val="000000"/>
          <w:sz w:val="32"/>
          <w:szCs w:val="32"/>
          <w:vertAlign w:val="superscript"/>
        </w:rPr>
        <w:t>st</w:t>
      </w:r>
      <w:r w:rsidRPr="00C1091F">
        <w:rPr>
          <w:rFonts w:ascii="Arial" w:eastAsia="Times New Roman" w:hAnsi="Arial" w:cs="Arial"/>
          <w:b/>
          <w:bCs/>
          <w:color w:val="000000"/>
          <w:sz w:val="32"/>
          <w:szCs w:val="32"/>
        </w:rPr>
        <w:t xml:space="preserve"> Oct 2021 against Notice dated 11.10.2021 issued u/s 10 of Black Money (UFIA) and Imposition of Tax Act, 2015 bearing no. ITBA/COM/F/17/2021-22/1036289649(1).</w:t>
      </w: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 xml:space="preserve">Sub: </w:t>
      </w:r>
      <w:r w:rsidRPr="00C1091F">
        <w:rPr>
          <w:rFonts w:ascii="Arial" w:hAnsi="Arial" w:cs="Arial"/>
          <w:sz w:val="32"/>
          <w:szCs w:val="32"/>
        </w:rPr>
        <w:t>Proceedings u/s 10 of Black Money (UFIA) and Imposition of Tax Act, 2015 - Notice</w:t>
      </w: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Re: Indu Bala Porwal (the “Noticee” for short)</w:t>
      </w:r>
    </w:p>
    <w:p w:rsidR="00AA0D73" w:rsidRPr="00C1091F" w:rsidRDefault="00AA0D73" w:rsidP="00AA0D73">
      <w:pPr>
        <w:spacing w:line="360" w:lineRule="auto"/>
        <w:ind w:left="709"/>
        <w:jc w:val="both"/>
        <w:rPr>
          <w:rFonts w:ascii="Arial" w:eastAsia="Times New Roman" w:hAnsi="Arial" w:cs="Arial"/>
          <w:b/>
          <w:bCs/>
          <w:color w:val="000000"/>
          <w:sz w:val="32"/>
          <w:szCs w:val="32"/>
        </w:rPr>
      </w:pPr>
      <w:r w:rsidRPr="00C1091F">
        <w:rPr>
          <w:rFonts w:ascii="Arial" w:eastAsia="Times New Roman" w:hAnsi="Arial" w:cs="Arial"/>
          <w:b/>
          <w:bCs/>
          <w:color w:val="000000"/>
          <w:sz w:val="32"/>
          <w:szCs w:val="32"/>
        </w:rPr>
        <w:t>Assessment Year: 2021-22 and PAN NO: AEKPP3897E</w:t>
      </w:r>
    </w:p>
    <w:p w:rsidR="00AA0D73" w:rsidRPr="00C1091F" w:rsidRDefault="008849BE" w:rsidP="00AA0D73">
      <w:pPr>
        <w:spacing w:line="360" w:lineRule="auto"/>
        <w:ind w:left="720"/>
        <w:jc w:val="both"/>
        <w:rPr>
          <w:rFonts w:ascii="Arial" w:eastAsia="Times New Roman" w:hAnsi="Arial" w:cs="Arial"/>
          <w:color w:val="000000"/>
          <w:sz w:val="32"/>
          <w:szCs w:val="32"/>
        </w:rPr>
      </w:pPr>
      <w:r w:rsidRPr="00C1091F">
        <w:rPr>
          <w:rFonts w:ascii="Arial" w:eastAsia="Times New Roman" w:hAnsi="Arial" w:cs="Arial"/>
          <w:color w:val="000000"/>
          <w:sz w:val="32"/>
          <w:szCs w:val="32"/>
        </w:rPr>
        <w:lastRenderedPageBreak/>
        <w:t>Respected Sir</w:t>
      </w:r>
      <w:r w:rsidR="00AA0D73" w:rsidRPr="00C1091F">
        <w:rPr>
          <w:rFonts w:ascii="Arial" w:eastAsia="Times New Roman" w:hAnsi="Arial" w:cs="Arial"/>
          <w:color w:val="000000"/>
          <w:sz w:val="32"/>
          <w:szCs w:val="32"/>
        </w:rPr>
        <w:t>,</w:t>
      </w:r>
    </w:p>
    <w:p w:rsidR="00AA0D73" w:rsidRPr="00C1091F" w:rsidRDefault="00AA0D73" w:rsidP="00AA0D73">
      <w:pPr>
        <w:spacing w:after="0" w:line="360" w:lineRule="auto"/>
        <w:ind w:left="720"/>
        <w:jc w:val="both"/>
        <w:rPr>
          <w:rFonts w:ascii="Arial" w:hAnsi="Arial" w:cs="Arial"/>
          <w:sz w:val="32"/>
          <w:szCs w:val="32"/>
        </w:rPr>
      </w:pPr>
      <w:r w:rsidRPr="00C1091F">
        <w:rPr>
          <w:rFonts w:ascii="Arial" w:hAnsi="Arial" w:cs="Arial"/>
          <w:sz w:val="32"/>
          <w:szCs w:val="32"/>
        </w:rPr>
        <w:t>While reserving our rights and remedies including constitutional remedies and without prejudice to our rights and remedies includi</w:t>
      </w:r>
      <w:r w:rsidR="00343F06">
        <w:rPr>
          <w:rFonts w:ascii="Arial" w:hAnsi="Arial" w:cs="Arial"/>
          <w:sz w:val="32"/>
          <w:szCs w:val="32"/>
        </w:rPr>
        <w:t xml:space="preserve">ng civil right we humbly submit as </w:t>
      </w:r>
      <w:r w:rsidRPr="00C1091F">
        <w:rPr>
          <w:rFonts w:ascii="Arial" w:hAnsi="Arial" w:cs="Arial"/>
          <w:sz w:val="32"/>
          <w:szCs w:val="32"/>
        </w:rPr>
        <w:t>follow</w:t>
      </w:r>
      <w:r w:rsidR="00343F06">
        <w:rPr>
          <w:rFonts w:ascii="Arial" w:hAnsi="Arial" w:cs="Arial"/>
          <w:sz w:val="32"/>
          <w:szCs w:val="32"/>
        </w:rPr>
        <w:t>s</w:t>
      </w:r>
      <w:r w:rsidRPr="00C1091F">
        <w:rPr>
          <w:rFonts w:ascii="Arial" w:hAnsi="Arial" w:cs="Arial"/>
          <w:sz w:val="32"/>
          <w:szCs w:val="32"/>
        </w:rPr>
        <w:t>:-</w:t>
      </w:r>
    </w:p>
    <w:p w:rsidR="00AA0D73" w:rsidRPr="00C1091F" w:rsidRDefault="00AA0D73" w:rsidP="00AA0D73">
      <w:pPr>
        <w:spacing w:after="0" w:line="360" w:lineRule="auto"/>
        <w:ind w:left="720"/>
        <w:jc w:val="both"/>
        <w:rPr>
          <w:rFonts w:ascii="Arial" w:hAnsi="Arial" w:cs="Arial"/>
          <w:sz w:val="32"/>
          <w:szCs w:val="32"/>
        </w:rPr>
      </w:pPr>
    </w:p>
    <w:p w:rsidR="00AA0D73" w:rsidRPr="00C1091F" w:rsidRDefault="00343F06" w:rsidP="00AA0D73">
      <w:pPr>
        <w:pStyle w:val="ListParagraph"/>
        <w:numPr>
          <w:ilvl w:val="0"/>
          <w:numId w:val="1"/>
        </w:numPr>
        <w:spacing w:line="480" w:lineRule="auto"/>
        <w:jc w:val="both"/>
        <w:rPr>
          <w:rFonts w:ascii="Arial" w:eastAsia="Times New Roman" w:hAnsi="Arial" w:cs="Arial"/>
          <w:color w:val="000000"/>
          <w:sz w:val="32"/>
          <w:szCs w:val="32"/>
        </w:rPr>
      </w:pPr>
      <w:r>
        <w:rPr>
          <w:rFonts w:ascii="Arial" w:eastAsia="Times New Roman" w:hAnsi="Arial" w:cs="Arial"/>
          <w:color w:val="000000"/>
          <w:sz w:val="32"/>
          <w:szCs w:val="32"/>
        </w:rPr>
        <w:t>It is to submit</w:t>
      </w:r>
      <w:r w:rsidR="00AA0D73" w:rsidRPr="00C1091F">
        <w:rPr>
          <w:rFonts w:ascii="Arial" w:eastAsia="Times New Roman" w:hAnsi="Arial" w:cs="Arial"/>
          <w:color w:val="000000"/>
          <w:sz w:val="32"/>
          <w:szCs w:val="32"/>
        </w:rPr>
        <w:t xml:space="preserve"> that assesse has submitted a reply dated 21</w:t>
      </w:r>
      <w:r w:rsidR="00AA0D73" w:rsidRPr="00C1091F">
        <w:rPr>
          <w:rFonts w:ascii="Arial" w:eastAsia="Times New Roman" w:hAnsi="Arial" w:cs="Arial"/>
          <w:color w:val="000000"/>
          <w:sz w:val="32"/>
          <w:szCs w:val="32"/>
          <w:vertAlign w:val="superscript"/>
        </w:rPr>
        <w:t>St</w:t>
      </w:r>
      <w:r w:rsidR="00AA0D73" w:rsidRPr="00C1091F">
        <w:rPr>
          <w:rFonts w:ascii="Arial" w:eastAsia="Times New Roman" w:hAnsi="Arial" w:cs="Arial"/>
          <w:color w:val="000000"/>
          <w:sz w:val="32"/>
          <w:szCs w:val="32"/>
        </w:rPr>
        <w:t xml:space="preserve"> Oct 2021 in response to your </w:t>
      </w:r>
      <w:r w:rsidR="008849BE" w:rsidRPr="00C1091F">
        <w:rPr>
          <w:rFonts w:ascii="Arial" w:eastAsia="Times New Roman" w:hAnsi="Arial" w:cs="Arial"/>
          <w:color w:val="000000"/>
          <w:sz w:val="32"/>
          <w:szCs w:val="32"/>
        </w:rPr>
        <w:t xml:space="preserve">previous </w:t>
      </w:r>
      <w:r w:rsidR="00AA0D73" w:rsidRPr="00C1091F">
        <w:rPr>
          <w:rFonts w:ascii="Arial" w:eastAsia="Times New Roman" w:hAnsi="Arial" w:cs="Arial"/>
          <w:color w:val="000000"/>
          <w:sz w:val="32"/>
          <w:szCs w:val="32"/>
        </w:rPr>
        <w:t>notice</w:t>
      </w:r>
      <w:r w:rsidR="008849BE" w:rsidRPr="00C1091F">
        <w:rPr>
          <w:rFonts w:ascii="Arial" w:eastAsia="Times New Roman" w:hAnsi="Arial" w:cs="Arial"/>
          <w:color w:val="000000"/>
          <w:sz w:val="32"/>
          <w:szCs w:val="32"/>
        </w:rPr>
        <w:t xml:space="preserve"> dated 11.10.2021</w:t>
      </w:r>
      <w:r w:rsidR="00AA0D73" w:rsidRPr="00C1091F">
        <w:rPr>
          <w:rFonts w:ascii="Arial" w:eastAsia="Times New Roman" w:hAnsi="Arial" w:cs="Arial"/>
          <w:color w:val="000000"/>
          <w:sz w:val="32"/>
          <w:szCs w:val="32"/>
        </w:rPr>
        <w:t xml:space="preserve"> which is attached as Annexure-1</w:t>
      </w:r>
      <w:r>
        <w:rPr>
          <w:rFonts w:ascii="Arial" w:eastAsia="Times New Roman" w:hAnsi="Arial" w:cs="Arial"/>
          <w:color w:val="000000"/>
          <w:sz w:val="32"/>
          <w:szCs w:val="32"/>
        </w:rPr>
        <w:t>.</w:t>
      </w:r>
    </w:p>
    <w:p w:rsidR="00AA0D73" w:rsidRPr="00C1091F" w:rsidRDefault="00AA0D73" w:rsidP="00AA0D73">
      <w:pPr>
        <w:pStyle w:val="ListParagraph"/>
        <w:spacing w:line="480" w:lineRule="auto"/>
        <w:ind w:left="1080"/>
        <w:jc w:val="both"/>
        <w:rPr>
          <w:rFonts w:ascii="Arial" w:eastAsia="Times New Roman" w:hAnsi="Arial" w:cs="Arial"/>
          <w:color w:val="000000"/>
          <w:sz w:val="32"/>
          <w:szCs w:val="32"/>
        </w:rPr>
      </w:pPr>
      <w:bookmarkStart w:id="0" w:name="_GoBack"/>
      <w:bookmarkEnd w:id="0"/>
    </w:p>
    <w:p w:rsidR="00AA0D73" w:rsidRPr="00C1091F" w:rsidRDefault="00343F06" w:rsidP="00AA0D73">
      <w:pPr>
        <w:pStyle w:val="ListParagraph"/>
        <w:numPr>
          <w:ilvl w:val="0"/>
          <w:numId w:val="1"/>
        </w:numPr>
        <w:spacing w:line="480" w:lineRule="auto"/>
        <w:jc w:val="both"/>
        <w:rPr>
          <w:rFonts w:ascii="Arial" w:eastAsia="Times New Roman" w:hAnsi="Arial" w:cs="Arial"/>
          <w:color w:val="000000"/>
          <w:sz w:val="32"/>
          <w:szCs w:val="32"/>
        </w:rPr>
      </w:pPr>
      <w:r>
        <w:rPr>
          <w:rFonts w:ascii="Arial" w:eastAsia="Times New Roman" w:hAnsi="Arial" w:cs="Arial"/>
          <w:color w:val="000000"/>
          <w:sz w:val="32"/>
          <w:szCs w:val="32"/>
        </w:rPr>
        <w:t>Further,</w:t>
      </w:r>
      <w:r w:rsidR="00AA0D73" w:rsidRPr="00C1091F">
        <w:rPr>
          <w:rFonts w:ascii="Arial" w:eastAsia="Times New Roman" w:hAnsi="Arial" w:cs="Arial"/>
          <w:color w:val="000000"/>
          <w:sz w:val="32"/>
          <w:szCs w:val="32"/>
        </w:rPr>
        <w:t xml:space="preserve"> the humble Noticee objects to the said proceedin</w:t>
      </w:r>
      <w:r>
        <w:rPr>
          <w:rFonts w:ascii="Arial" w:eastAsia="Times New Roman" w:hAnsi="Arial" w:cs="Arial"/>
          <w:color w:val="000000"/>
          <w:sz w:val="32"/>
          <w:szCs w:val="32"/>
        </w:rPr>
        <w:t xml:space="preserve">gs initiated </w:t>
      </w:r>
      <w:r w:rsidR="00AA0D73" w:rsidRPr="00C1091F">
        <w:rPr>
          <w:rFonts w:ascii="Arial" w:eastAsia="Times New Roman" w:hAnsi="Arial" w:cs="Arial"/>
          <w:color w:val="000000"/>
          <w:sz w:val="32"/>
          <w:szCs w:val="32"/>
        </w:rPr>
        <w:t xml:space="preserve"> as</w:t>
      </w:r>
      <w:r>
        <w:rPr>
          <w:rFonts w:ascii="Arial" w:eastAsia="Times New Roman" w:hAnsi="Arial" w:cs="Arial"/>
          <w:color w:val="000000"/>
          <w:sz w:val="32"/>
          <w:szCs w:val="32"/>
        </w:rPr>
        <w:t xml:space="preserve"> in our humble opinion</w:t>
      </w:r>
      <w:r w:rsidR="00AA0D73" w:rsidRPr="00C1091F">
        <w:rPr>
          <w:rFonts w:ascii="Arial" w:eastAsia="Times New Roman" w:hAnsi="Arial" w:cs="Arial"/>
          <w:color w:val="000000"/>
          <w:sz w:val="32"/>
          <w:szCs w:val="32"/>
        </w:rPr>
        <w:t xml:space="preserve"> the said proceedings are without jurisdiction, time barred and not in accordance with the provisions of the Black Money (Undisclosed Foreign Income and Assets) and Imposition of Tax Act, 2015 (“</w:t>
      </w:r>
      <w:r w:rsidR="00A76574">
        <w:rPr>
          <w:rFonts w:ascii="Arial" w:eastAsia="Times New Roman" w:hAnsi="Arial" w:cs="Arial"/>
          <w:color w:val="000000"/>
          <w:sz w:val="32"/>
          <w:szCs w:val="32"/>
        </w:rPr>
        <w:t xml:space="preserve">the </w:t>
      </w:r>
      <w:r w:rsidR="00AA0D73" w:rsidRPr="00C1091F">
        <w:rPr>
          <w:rFonts w:ascii="Arial" w:eastAsia="Times New Roman" w:hAnsi="Arial" w:cs="Arial"/>
          <w:b/>
          <w:bCs/>
          <w:color w:val="000000"/>
          <w:sz w:val="32"/>
          <w:szCs w:val="32"/>
        </w:rPr>
        <w:t>BM Act</w:t>
      </w:r>
      <w:r w:rsidR="00A76574">
        <w:rPr>
          <w:rFonts w:ascii="Arial" w:eastAsia="Times New Roman" w:hAnsi="Arial" w:cs="Arial"/>
          <w:b/>
          <w:bCs/>
          <w:color w:val="000000"/>
          <w:sz w:val="32"/>
          <w:szCs w:val="32"/>
        </w:rPr>
        <w:t>, 2015</w:t>
      </w:r>
      <w:r w:rsidR="00AA0D73" w:rsidRPr="00C1091F">
        <w:rPr>
          <w:rFonts w:ascii="Arial" w:eastAsia="Times New Roman" w:hAnsi="Arial" w:cs="Arial"/>
          <w:color w:val="000000"/>
          <w:sz w:val="32"/>
          <w:szCs w:val="32"/>
        </w:rPr>
        <w:t xml:space="preserve">” for </w:t>
      </w:r>
      <w:r w:rsidR="00AA0D73" w:rsidRPr="00C1091F">
        <w:rPr>
          <w:rFonts w:ascii="Arial" w:eastAsia="Times New Roman" w:hAnsi="Arial" w:cs="Arial"/>
          <w:b/>
          <w:bCs/>
          <w:color w:val="000000"/>
          <w:sz w:val="32"/>
          <w:szCs w:val="32"/>
        </w:rPr>
        <w:t>Short</w:t>
      </w:r>
      <w:r w:rsidR="00AA0D73" w:rsidRPr="00C1091F">
        <w:rPr>
          <w:rFonts w:ascii="Arial" w:eastAsia="Times New Roman" w:hAnsi="Arial" w:cs="Arial"/>
          <w:color w:val="000000"/>
          <w:sz w:val="32"/>
          <w:szCs w:val="32"/>
        </w:rPr>
        <w:t xml:space="preserve">). </w:t>
      </w:r>
    </w:p>
    <w:p w:rsidR="00AA0D73" w:rsidRPr="00C1091F" w:rsidRDefault="00AA0D73" w:rsidP="00AA0D73">
      <w:pPr>
        <w:pStyle w:val="ListParagraph"/>
        <w:spacing w:line="480" w:lineRule="auto"/>
        <w:ind w:left="1080"/>
        <w:jc w:val="both"/>
        <w:rPr>
          <w:rFonts w:ascii="Arial" w:eastAsia="Times New Roman" w:hAnsi="Arial" w:cs="Arial"/>
          <w:color w:val="000000"/>
          <w:sz w:val="32"/>
          <w:szCs w:val="32"/>
        </w:rPr>
      </w:pPr>
    </w:p>
    <w:p w:rsidR="00AA0D73" w:rsidRDefault="00AA0D73" w:rsidP="00AA0D73">
      <w:pPr>
        <w:pStyle w:val="ListParagraph"/>
        <w:numPr>
          <w:ilvl w:val="0"/>
          <w:numId w:val="1"/>
        </w:numPr>
        <w:spacing w:line="480" w:lineRule="auto"/>
        <w:jc w:val="both"/>
        <w:rPr>
          <w:rFonts w:ascii="Arial" w:eastAsia="Times New Roman" w:hAnsi="Arial" w:cs="Arial"/>
          <w:color w:val="000000"/>
          <w:sz w:val="32"/>
          <w:szCs w:val="32"/>
        </w:rPr>
      </w:pPr>
      <w:r w:rsidRPr="004E3A5B">
        <w:rPr>
          <w:rFonts w:ascii="Arial" w:eastAsia="Times New Roman" w:hAnsi="Arial" w:cs="Arial"/>
          <w:color w:val="000000"/>
          <w:sz w:val="32"/>
          <w:szCs w:val="32"/>
        </w:rPr>
        <w:t>It is humbly submitted that</w:t>
      </w:r>
      <w:r w:rsidR="00343F06" w:rsidRPr="004E3A5B">
        <w:rPr>
          <w:rFonts w:ascii="Arial" w:eastAsia="Times New Roman" w:hAnsi="Arial" w:cs="Arial"/>
          <w:color w:val="000000"/>
          <w:sz w:val="32"/>
          <w:szCs w:val="32"/>
        </w:rPr>
        <w:t xml:space="preserve"> the n</w:t>
      </w:r>
      <w:r w:rsidR="00A76574" w:rsidRPr="004E3A5B">
        <w:rPr>
          <w:rFonts w:ascii="Arial" w:eastAsia="Times New Roman" w:hAnsi="Arial" w:cs="Arial"/>
          <w:color w:val="000000"/>
          <w:sz w:val="32"/>
          <w:szCs w:val="32"/>
        </w:rPr>
        <w:t>o</w:t>
      </w:r>
      <w:r w:rsidR="00343F06" w:rsidRPr="004E3A5B">
        <w:rPr>
          <w:rFonts w:ascii="Arial" w:eastAsia="Times New Roman" w:hAnsi="Arial" w:cs="Arial"/>
          <w:color w:val="000000"/>
          <w:sz w:val="32"/>
          <w:szCs w:val="32"/>
        </w:rPr>
        <w:t>tice issued is wi</w:t>
      </w:r>
      <w:r w:rsidR="00A76574" w:rsidRPr="004E3A5B">
        <w:rPr>
          <w:rFonts w:ascii="Arial" w:eastAsia="Times New Roman" w:hAnsi="Arial" w:cs="Arial"/>
          <w:color w:val="000000"/>
          <w:sz w:val="32"/>
          <w:szCs w:val="32"/>
        </w:rPr>
        <w:t>t</w:t>
      </w:r>
      <w:r w:rsidR="00343F06" w:rsidRPr="004E3A5B">
        <w:rPr>
          <w:rFonts w:ascii="Arial" w:eastAsia="Times New Roman" w:hAnsi="Arial" w:cs="Arial"/>
          <w:color w:val="000000"/>
          <w:sz w:val="32"/>
          <w:szCs w:val="32"/>
        </w:rPr>
        <w:t xml:space="preserve">hout jurisdiction for simple reason that jurisdiction to </w:t>
      </w:r>
      <w:r w:rsidR="00A76574" w:rsidRPr="004E3A5B">
        <w:rPr>
          <w:rFonts w:ascii="Arial" w:eastAsia="Times New Roman" w:hAnsi="Arial" w:cs="Arial"/>
          <w:color w:val="000000"/>
          <w:sz w:val="32"/>
          <w:szCs w:val="32"/>
        </w:rPr>
        <w:t xml:space="preserve"> various </w:t>
      </w:r>
      <w:r w:rsidR="00343F06" w:rsidRPr="004E3A5B">
        <w:rPr>
          <w:rFonts w:ascii="Arial" w:eastAsia="Times New Roman" w:hAnsi="Arial" w:cs="Arial"/>
          <w:color w:val="000000"/>
          <w:sz w:val="32"/>
          <w:szCs w:val="32"/>
        </w:rPr>
        <w:t>authorities</w:t>
      </w:r>
      <w:r w:rsidR="00A76574" w:rsidRPr="004E3A5B">
        <w:rPr>
          <w:rFonts w:ascii="Arial" w:eastAsia="Times New Roman" w:hAnsi="Arial" w:cs="Arial"/>
          <w:color w:val="000000"/>
          <w:sz w:val="32"/>
          <w:szCs w:val="32"/>
        </w:rPr>
        <w:t xml:space="preserve"> under the B M Act, 2015</w:t>
      </w:r>
      <w:r w:rsidR="00343F06" w:rsidRPr="004E3A5B">
        <w:rPr>
          <w:rFonts w:ascii="Arial" w:eastAsia="Times New Roman" w:hAnsi="Arial" w:cs="Arial"/>
          <w:color w:val="000000"/>
          <w:sz w:val="32"/>
          <w:szCs w:val="32"/>
        </w:rPr>
        <w:t xml:space="preserve"> was provided after coming in to effect of the BM Act, 2015 </w:t>
      </w:r>
      <w:r w:rsidR="00343F06" w:rsidRPr="004E3A5B">
        <w:rPr>
          <w:rFonts w:ascii="Arial" w:eastAsia="Times New Roman" w:hAnsi="Arial" w:cs="Arial"/>
          <w:color w:val="000000"/>
          <w:sz w:val="32"/>
          <w:szCs w:val="32"/>
        </w:rPr>
        <w:lastRenderedPageBreak/>
        <w:t>by way of notifications issued on three different occasions by CBDT being in the years 2015, 2017 and 2021</w:t>
      </w:r>
      <w:r w:rsidR="00A76574" w:rsidRPr="004E3A5B">
        <w:rPr>
          <w:rFonts w:ascii="Arial" w:eastAsia="Times New Roman" w:hAnsi="Arial" w:cs="Arial"/>
          <w:color w:val="000000"/>
          <w:sz w:val="32"/>
          <w:szCs w:val="32"/>
        </w:rPr>
        <w:t>, copies of the three notifications are enclosed for your kind perusal as Annexures- 2, 3 &amp; 4 herewith.</w:t>
      </w:r>
      <w:r w:rsidR="00343F06" w:rsidRPr="004E3A5B">
        <w:rPr>
          <w:rFonts w:ascii="Arial" w:eastAsia="Times New Roman" w:hAnsi="Arial" w:cs="Arial"/>
          <w:color w:val="000000"/>
          <w:sz w:val="32"/>
          <w:szCs w:val="32"/>
        </w:rPr>
        <w:t>.</w:t>
      </w:r>
      <w:r w:rsidRPr="004E3A5B">
        <w:rPr>
          <w:rFonts w:ascii="Arial" w:eastAsia="Times New Roman" w:hAnsi="Arial" w:cs="Arial"/>
          <w:color w:val="000000"/>
          <w:sz w:val="32"/>
          <w:szCs w:val="32"/>
        </w:rPr>
        <w:t xml:space="preserve"> </w:t>
      </w:r>
      <w:r w:rsidR="00A76574" w:rsidRPr="004E3A5B">
        <w:rPr>
          <w:rFonts w:ascii="Arial" w:eastAsia="Times New Roman" w:hAnsi="Arial" w:cs="Arial"/>
          <w:color w:val="000000"/>
          <w:sz w:val="32"/>
          <w:szCs w:val="32"/>
        </w:rPr>
        <w:t>Initially by way of notification issued on 24</w:t>
      </w:r>
      <w:r w:rsidR="00A76574" w:rsidRPr="004E3A5B">
        <w:rPr>
          <w:rFonts w:ascii="Arial" w:eastAsia="Times New Roman" w:hAnsi="Arial" w:cs="Arial"/>
          <w:color w:val="000000"/>
          <w:sz w:val="32"/>
          <w:szCs w:val="32"/>
          <w:vertAlign w:val="superscript"/>
        </w:rPr>
        <w:t>th</w:t>
      </w:r>
      <w:r w:rsidR="00A76574" w:rsidRPr="004E3A5B">
        <w:rPr>
          <w:rFonts w:ascii="Arial" w:eastAsia="Times New Roman" w:hAnsi="Arial" w:cs="Arial"/>
          <w:color w:val="000000"/>
          <w:sz w:val="32"/>
          <w:szCs w:val="32"/>
        </w:rPr>
        <w:t xml:space="preserve"> August, 2015, the jurisdiction under Section 120 of the Income tax Act, 1961 read with Section 6 of the B M Act, 2015 Additional Commissioners of Income tax and Joint commissioners of Income tax were to exercise the powers and</w:t>
      </w:r>
      <w:r w:rsidR="004E3A5B">
        <w:rPr>
          <w:rFonts w:ascii="Arial" w:eastAsia="Times New Roman" w:hAnsi="Arial" w:cs="Arial"/>
          <w:color w:val="000000"/>
          <w:sz w:val="32"/>
          <w:szCs w:val="32"/>
        </w:rPr>
        <w:t xml:space="preserve"> perform the</w:t>
      </w:r>
      <w:r w:rsidR="00A76574" w:rsidRPr="004E3A5B">
        <w:rPr>
          <w:rFonts w:ascii="Arial" w:eastAsia="Times New Roman" w:hAnsi="Arial" w:cs="Arial"/>
          <w:color w:val="000000"/>
          <w:sz w:val="32"/>
          <w:szCs w:val="32"/>
        </w:rPr>
        <w:t xml:space="preserve"> functions of </w:t>
      </w:r>
      <w:r w:rsidR="004E3A5B">
        <w:rPr>
          <w:rFonts w:ascii="Arial" w:eastAsia="Times New Roman" w:hAnsi="Arial" w:cs="Arial"/>
          <w:color w:val="000000"/>
          <w:sz w:val="32"/>
          <w:szCs w:val="32"/>
        </w:rPr>
        <w:t>an</w:t>
      </w:r>
      <w:r w:rsidR="00A76574" w:rsidRPr="004E3A5B">
        <w:rPr>
          <w:rFonts w:ascii="Arial" w:eastAsia="Times New Roman" w:hAnsi="Arial" w:cs="Arial"/>
          <w:color w:val="000000"/>
          <w:sz w:val="32"/>
          <w:szCs w:val="32"/>
        </w:rPr>
        <w:t xml:space="preserve"> Assessing Officers  under the B M Act, 2015</w:t>
      </w:r>
      <w:r w:rsidR="004E3A5B" w:rsidRPr="004E3A5B">
        <w:rPr>
          <w:rFonts w:ascii="Arial" w:eastAsia="Times New Roman" w:hAnsi="Arial" w:cs="Arial"/>
          <w:color w:val="000000"/>
          <w:sz w:val="32"/>
          <w:szCs w:val="32"/>
        </w:rPr>
        <w:t xml:space="preserve"> in respect of which such Additional Co</w:t>
      </w:r>
      <w:r w:rsidR="004E3A5B">
        <w:rPr>
          <w:rFonts w:ascii="Arial" w:eastAsia="Times New Roman" w:hAnsi="Arial" w:cs="Arial"/>
          <w:color w:val="000000"/>
          <w:sz w:val="32"/>
          <w:szCs w:val="32"/>
        </w:rPr>
        <w:t>m</w:t>
      </w:r>
      <w:r w:rsidR="004E3A5B" w:rsidRPr="004E3A5B">
        <w:rPr>
          <w:rFonts w:ascii="Arial" w:eastAsia="Times New Roman" w:hAnsi="Arial" w:cs="Arial"/>
          <w:color w:val="000000"/>
          <w:sz w:val="32"/>
          <w:szCs w:val="32"/>
        </w:rPr>
        <w:t xml:space="preserve">missioners /Joint Commissioners </w:t>
      </w:r>
      <w:r w:rsidR="004E3A5B">
        <w:rPr>
          <w:rFonts w:ascii="Arial" w:eastAsia="Times New Roman" w:hAnsi="Arial" w:cs="Arial"/>
          <w:color w:val="000000"/>
          <w:sz w:val="32"/>
          <w:szCs w:val="32"/>
        </w:rPr>
        <w:t>were</w:t>
      </w:r>
      <w:r w:rsidR="004E3A5B" w:rsidRPr="004E3A5B">
        <w:rPr>
          <w:rFonts w:ascii="Arial" w:eastAsia="Times New Roman" w:hAnsi="Arial" w:cs="Arial"/>
          <w:color w:val="000000"/>
          <w:sz w:val="32"/>
          <w:szCs w:val="32"/>
        </w:rPr>
        <w:t xml:space="preserve"> authorised in pursuance of the Directions of CBDT, This meant that territorial Additional Coomissioners/ Joint Coomissioners were authorised to exercise thw powers and perform the functions of assessing Officers under the B M Act, 2015.</w:t>
      </w:r>
      <w:r w:rsidR="00A76574" w:rsidRPr="004E3A5B">
        <w:rPr>
          <w:rFonts w:ascii="Arial" w:eastAsia="Times New Roman" w:hAnsi="Arial" w:cs="Arial"/>
          <w:color w:val="000000"/>
          <w:sz w:val="32"/>
          <w:szCs w:val="32"/>
        </w:rPr>
        <w:t xml:space="preserve"> </w:t>
      </w:r>
    </w:p>
    <w:p w:rsidR="004E3A5B" w:rsidRDefault="004E3A5B" w:rsidP="004E3A5B">
      <w:pPr>
        <w:pStyle w:val="ListParagraph"/>
        <w:numPr>
          <w:ilvl w:val="0"/>
          <w:numId w:val="1"/>
        </w:numPr>
        <w:rPr>
          <w:rFonts w:ascii="Arial" w:eastAsia="Times New Roman" w:hAnsi="Arial" w:cs="Arial"/>
          <w:color w:val="000000"/>
          <w:sz w:val="32"/>
          <w:szCs w:val="32"/>
        </w:rPr>
      </w:pPr>
      <w:r>
        <w:rPr>
          <w:rFonts w:ascii="Arial" w:eastAsia="Times New Roman" w:hAnsi="Arial" w:cs="Arial"/>
          <w:color w:val="000000"/>
          <w:sz w:val="32"/>
          <w:szCs w:val="32"/>
        </w:rPr>
        <w:t>Subsequently, on 16</w:t>
      </w:r>
      <w:r w:rsidRPr="004E3A5B">
        <w:rPr>
          <w:rFonts w:ascii="Arial" w:eastAsia="Times New Roman" w:hAnsi="Arial" w:cs="Arial"/>
          <w:color w:val="000000"/>
          <w:sz w:val="32"/>
          <w:szCs w:val="32"/>
          <w:vertAlign w:val="superscript"/>
        </w:rPr>
        <w:t>th</w:t>
      </w:r>
      <w:r>
        <w:rPr>
          <w:rFonts w:ascii="Arial" w:eastAsia="Times New Roman" w:hAnsi="Arial" w:cs="Arial"/>
          <w:color w:val="000000"/>
          <w:sz w:val="32"/>
          <w:szCs w:val="32"/>
        </w:rPr>
        <w:t xml:space="preserve"> May, 2017, CBDT authorised DGsIT (Investigation) or The Principal Director/Director of Income tax (Investigation)  to issue orders in writing </w:t>
      </w:r>
      <w:r w:rsidR="001C711D">
        <w:rPr>
          <w:rFonts w:ascii="Arial" w:eastAsia="Times New Roman" w:hAnsi="Arial" w:cs="Arial"/>
          <w:color w:val="000000"/>
          <w:sz w:val="32"/>
          <w:szCs w:val="32"/>
        </w:rPr>
        <w:t xml:space="preserve">for the exercise of the powers and perform the functions of an Assessing Officer to an </w:t>
      </w:r>
      <w:r w:rsidR="001C711D">
        <w:rPr>
          <w:rFonts w:ascii="Arial" w:eastAsia="Times New Roman" w:hAnsi="Arial" w:cs="Arial"/>
          <w:color w:val="000000"/>
          <w:sz w:val="32"/>
          <w:szCs w:val="32"/>
        </w:rPr>
        <w:lastRenderedPageBreak/>
        <w:t>Assistant Director/ Deputy Director of Income tax (Investaigation) who were subordinate to such DGs IT (Investiagation) or Pr. Director or Director of Income tax (Investgation) within their territorial areas, Resultantly, the territorial jurisdiction was modified to assign case undrer the B M Act, 2015 to the Investigation Directorates.</w:t>
      </w:r>
    </w:p>
    <w:p w:rsidR="001C711D" w:rsidRDefault="001C711D" w:rsidP="004E3A5B">
      <w:pPr>
        <w:pStyle w:val="ListParagraph"/>
        <w:numPr>
          <w:ilvl w:val="0"/>
          <w:numId w:val="1"/>
        </w:numPr>
        <w:rPr>
          <w:rFonts w:ascii="Arial" w:eastAsia="Times New Roman" w:hAnsi="Arial" w:cs="Arial"/>
          <w:color w:val="000000"/>
          <w:sz w:val="32"/>
          <w:szCs w:val="32"/>
        </w:rPr>
      </w:pPr>
      <w:r>
        <w:rPr>
          <w:rFonts w:ascii="Arial" w:eastAsia="Times New Roman" w:hAnsi="Arial" w:cs="Arial"/>
          <w:color w:val="000000"/>
          <w:sz w:val="32"/>
          <w:szCs w:val="32"/>
        </w:rPr>
        <w:t>A further change was brought about by another notification issued by CBDT on 23</w:t>
      </w:r>
      <w:r w:rsidRPr="001C711D">
        <w:rPr>
          <w:rFonts w:ascii="Arial" w:eastAsia="Times New Roman" w:hAnsi="Arial" w:cs="Arial"/>
          <w:color w:val="000000"/>
          <w:sz w:val="32"/>
          <w:szCs w:val="32"/>
          <w:vertAlign w:val="superscript"/>
        </w:rPr>
        <w:t>rd</w:t>
      </w:r>
      <w:r>
        <w:rPr>
          <w:rFonts w:ascii="Arial" w:eastAsia="Times New Roman" w:hAnsi="Arial" w:cs="Arial"/>
          <w:color w:val="000000"/>
          <w:sz w:val="32"/>
          <w:szCs w:val="32"/>
        </w:rPr>
        <w:t xml:space="preserve"> February, 2021 wherebt the jurisdiction earlier assigned to territorial Additional Commissioners/Joint Commissioners in the year 2015 was modified to assign the jurisdiction to Ventral Charges as against the territorial Ranges. But, this change carvecd out an exception in respect of Investiagation Directorates to the effect the jursiction given to Additional Directors/ Joint Directors of Income tax (Investigation ) was not disturbed which continued to be with such Directorates, </w:t>
      </w:r>
    </w:p>
    <w:p w:rsidR="001C711D" w:rsidRDefault="001C711D" w:rsidP="004E3A5B">
      <w:pPr>
        <w:pStyle w:val="ListParagraph"/>
        <w:numPr>
          <w:ilvl w:val="0"/>
          <w:numId w:val="1"/>
        </w:numPr>
        <w:rPr>
          <w:rFonts w:ascii="Arial" w:eastAsia="Times New Roman" w:hAnsi="Arial" w:cs="Arial"/>
          <w:color w:val="000000"/>
          <w:sz w:val="32"/>
          <w:szCs w:val="32"/>
        </w:rPr>
      </w:pPr>
      <w:r>
        <w:rPr>
          <w:rFonts w:ascii="Arial" w:eastAsia="Times New Roman" w:hAnsi="Arial" w:cs="Arial"/>
          <w:color w:val="000000"/>
          <w:sz w:val="32"/>
          <w:szCs w:val="32"/>
        </w:rPr>
        <w:t>In our case, the jurisdiction which came in to effect by Notification of 24</w:t>
      </w:r>
      <w:r w:rsidRPr="001C711D">
        <w:rPr>
          <w:rFonts w:ascii="Arial" w:eastAsia="Times New Roman" w:hAnsi="Arial" w:cs="Arial"/>
          <w:color w:val="000000"/>
          <w:sz w:val="32"/>
          <w:szCs w:val="32"/>
          <w:vertAlign w:val="superscript"/>
        </w:rPr>
        <w:t>th</w:t>
      </w:r>
      <w:r>
        <w:rPr>
          <w:rFonts w:ascii="Arial" w:eastAsia="Times New Roman" w:hAnsi="Arial" w:cs="Arial"/>
          <w:color w:val="000000"/>
          <w:sz w:val="32"/>
          <w:szCs w:val="32"/>
        </w:rPr>
        <w:t xml:space="preserve"> August, 2015 continured with Assistant Director/ Deputy Director of Income tax (Investgation) Udaipur</w:t>
      </w:r>
      <w:r w:rsidR="00DF1F41">
        <w:rPr>
          <w:rFonts w:ascii="Arial" w:eastAsia="Times New Roman" w:hAnsi="Arial" w:cs="Arial"/>
          <w:color w:val="000000"/>
          <w:sz w:val="32"/>
          <w:szCs w:val="32"/>
        </w:rPr>
        <w:t>.</w:t>
      </w:r>
    </w:p>
    <w:p w:rsidR="00DF1F41" w:rsidRPr="004E3A5B" w:rsidRDefault="00DF1F41" w:rsidP="004E3A5B">
      <w:pPr>
        <w:pStyle w:val="ListParagraph"/>
        <w:numPr>
          <w:ilvl w:val="0"/>
          <w:numId w:val="1"/>
        </w:numPr>
        <w:rPr>
          <w:rFonts w:ascii="Arial" w:eastAsia="Times New Roman" w:hAnsi="Arial" w:cs="Arial"/>
          <w:color w:val="000000"/>
          <w:sz w:val="32"/>
          <w:szCs w:val="32"/>
        </w:rPr>
      </w:pPr>
      <w:r>
        <w:rPr>
          <w:rFonts w:ascii="Arial" w:eastAsia="Times New Roman" w:hAnsi="Arial" w:cs="Arial"/>
          <w:color w:val="000000"/>
          <w:sz w:val="32"/>
          <w:szCs w:val="32"/>
        </w:rPr>
        <w:t>Therefore, the notice issued by you as Joint Commissioner of Incpome tax, Cenral Circle Udaipur is vitiated as you  do not hold jurisdiction to issue notice under the B M Act, 2015. This fact is evident from the reference made to the Comptenet Authority  for eliciting information under the relevant Articles of the DTAA by and between India and Switzerland And UAE on 18</w:t>
      </w:r>
      <w:r w:rsidRPr="00DF1F41">
        <w:rPr>
          <w:rFonts w:ascii="Arial" w:eastAsia="Times New Roman" w:hAnsi="Arial" w:cs="Arial"/>
          <w:color w:val="000000"/>
          <w:sz w:val="32"/>
          <w:szCs w:val="32"/>
          <w:vertAlign w:val="superscript"/>
        </w:rPr>
        <w:t>th</w:t>
      </w:r>
      <w:r>
        <w:rPr>
          <w:rFonts w:ascii="Arial" w:eastAsia="Times New Roman" w:hAnsi="Arial" w:cs="Arial"/>
          <w:color w:val="000000"/>
          <w:sz w:val="32"/>
          <w:szCs w:val="32"/>
        </w:rPr>
        <w:t xml:space="preserve"> March, 29019 wherein the details of the Assessing Officers and other superior Officers  to whom the Assessing Officer is subordinate is given</w:t>
      </w:r>
    </w:p>
    <w:p w:rsidR="004E3A5B" w:rsidRPr="004E3A5B" w:rsidRDefault="004E3A5B" w:rsidP="00AA0D73">
      <w:pPr>
        <w:pStyle w:val="ListParagraph"/>
        <w:numPr>
          <w:ilvl w:val="0"/>
          <w:numId w:val="1"/>
        </w:numPr>
        <w:spacing w:line="480" w:lineRule="auto"/>
        <w:jc w:val="both"/>
        <w:rPr>
          <w:rFonts w:ascii="Arial" w:eastAsia="Times New Roman" w:hAnsi="Arial" w:cs="Arial"/>
          <w:color w:val="000000"/>
          <w:sz w:val="32"/>
          <w:szCs w:val="32"/>
        </w:rPr>
      </w:pPr>
    </w:p>
    <w:p w:rsidR="00AA0D73" w:rsidRPr="00C1091F" w:rsidRDefault="00AA0D73"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eastAsia="Times New Roman" w:hAnsi="Arial" w:cs="Arial"/>
          <w:color w:val="000000"/>
          <w:sz w:val="32"/>
          <w:szCs w:val="32"/>
        </w:rPr>
        <w:lastRenderedPageBreak/>
        <w:t xml:space="preserve">Without prejudice to above, it is humbly once again submitted that Noticee neither own any undisclosed foreign assets nor earned any foreign income during previous </w:t>
      </w:r>
      <w:r w:rsidR="008849BE" w:rsidRPr="00C1091F">
        <w:rPr>
          <w:rFonts w:ascii="Arial" w:eastAsia="Times New Roman" w:hAnsi="Arial" w:cs="Arial"/>
          <w:color w:val="000000"/>
          <w:sz w:val="32"/>
          <w:szCs w:val="32"/>
        </w:rPr>
        <w:t xml:space="preserve">year 2020-21 and </w:t>
      </w:r>
      <w:r w:rsidR="008849BE" w:rsidRPr="00C1091F">
        <w:rPr>
          <w:rFonts w:ascii="Arial" w:hAnsi="Arial" w:cs="Arial"/>
          <w:sz w:val="32"/>
          <w:szCs w:val="32"/>
          <w:lang w:val="en-GB"/>
        </w:rPr>
        <w:t>Without providing any information/documents/communication, another notice was issued on 02/02/2023 for compliance and preparation of such information/reply required by the earlier Notice dated 21/10/2021 and</w:t>
      </w:r>
      <w:r w:rsidRPr="00C1091F">
        <w:rPr>
          <w:rFonts w:ascii="Arial" w:eastAsia="Times New Roman" w:hAnsi="Arial" w:cs="Arial"/>
          <w:color w:val="000000"/>
          <w:sz w:val="32"/>
          <w:szCs w:val="32"/>
        </w:rPr>
        <w:t xml:space="preserve"> therefore, the very basis of pr</w:t>
      </w:r>
      <w:r w:rsidR="008849BE" w:rsidRPr="00C1091F">
        <w:rPr>
          <w:rFonts w:ascii="Arial" w:eastAsia="Times New Roman" w:hAnsi="Arial" w:cs="Arial"/>
          <w:color w:val="000000"/>
          <w:sz w:val="32"/>
          <w:szCs w:val="32"/>
        </w:rPr>
        <w:t>esent proceeding does not exist</w:t>
      </w:r>
      <w:r w:rsidRPr="00C1091F">
        <w:rPr>
          <w:rFonts w:ascii="Arial" w:eastAsia="Times New Roman" w:hAnsi="Arial" w:cs="Arial"/>
          <w:color w:val="000000"/>
          <w:sz w:val="32"/>
          <w:szCs w:val="32"/>
        </w:rPr>
        <w:t xml:space="preserve"> </w:t>
      </w:r>
    </w:p>
    <w:p w:rsidR="008849BE" w:rsidRPr="00C1091F" w:rsidRDefault="008849BE" w:rsidP="008849BE">
      <w:pPr>
        <w:pStyle w:val="ListParagraph"/>
        <w:spacing w:line="480" w:lineRule="auto"/>
        <w:rPr>
          <w:rFonts w:ascii="Arial" w:eastAsia="Times New Roman" w:hAnsi="Arial" w:cs="Arial"/>
          <w:color w:val="000000"/>
          <w:sz w:val="32"/>
          <w:szCs w:val="32"/>
        </w:rPr>
      </w:pPr>
    </w:p>
    <w:p w:rsidR="008849BE" w:rsidRPr="00C1091F" w:rsidRDefault="008849BE"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hAnsi="Arial" w:cs="Arial"/>
          <w:sz w:val="32"/>
          <w:szCs w:val="32"/>
          <w:lang w:val="en-GB"/>
        </w:rPr>
        <w:t xml:space="preserve">Without prejudice to our contention in reply, In respect of the jurisdiction of the authorities under the BMA, your attention is drawn to Notification issued under No. S.O. 1590 (E) dated 16/05/2017 whereby the CBDT authorised the Director General of Income Tax (Investigation) and the Pr. Director/Director of Income Tax subordinates to him to issue Orders in writing for the exercise of the powers and performs the functions of an Assessing Officer to an Assistant Director of Income Tax or Dy. Director of Income Tax who are subordinate to them in respect of cases or class of cases falling </w:t>
      </w:r>
      <w:r w:rsidRPr="00C1091F">
        <w:rPr>
          <w:rFonts w:ascii="Arial" w:hAnsi="Arial" w:cs="Arial"/>
          <w:sz w:val="32"/>
          <w:szCs w:val="32"/>
          <w:lang w:val="en-GB"/>
        </w:rPr>
        <w:lastRenderedPageBreak/>
        <w:t>within the territorial areas specified in the schedule given for the purposes of the BMA.</w:t>
      </w:r>
    </w:p>
    <w:p w:rsidR="008849BE" w:rsidRPr="00C1091F" w:rsidRDefault="008849BE" w:rsidP="008849BE">
      <w:pPr>
        <w:pStyle w:val="ListParagraph"/>
        <w:spacing w:line="480" w:lineRule="auto"/>
        <w:rPr>
          <w:rFonts w:ascii="Arial" w:hAnsi="Arial" w:cs="Arial"/>
          <w:sz w:val="32"/>
          <w:szCs w:val="32"/>
          <w:lang w:val="en-GB"/>
        </w:rPr>
      </w:pPr>
    </w:p>
    <w:p w:rsidR="008849BE" w:rsidRPr="00C1091F" w:rsidRDefault="008849BE"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hAnsi="Arial" w:cs="Arial"/>
          <w:sz w:val="32"/>
          <w:szCs w:val="32"/>
          <w:lang w:val="en-GB"/>
        </w:rPr>
        <w:t>Further, we also brought to your notice another instruction of dated 23/02/2021 whereby the Board conveyed its decision that all cases under BMA pending with jurisdictional Income Tax Authorities (</w:t>
      </w:r>
      <w:r w:rsidRPr="00C1091F">
        <w:rPr>
          <w:rFonts w:ascii="Arial" w:hAnsi="Arial" w:cs="Arial"/>
          <w:b/>
          <w:sz w:val="32"/>
          <w:szCs w:val="32"/>
          <w:lang w:val="en-GB"/>
        </w:rPr>
        <w:t>excluding those cases wherein ADIT (Inv.)/DDIT (Inv.) is exercising the jurisdiction under Black Money Act as per CBDT’s instruction vide S.O. 1590 (E) dated 16/05/2017)</w:t>
      </w:r>
      <w:r w:rsidRPr="00C1091F">
        <w:rPr>
          <w:rFonts w:ascii="Arial" w:hAnsi="Arial" w:cs="Arial"/>
          <w:sz w:val="32"/>
          <w:szCs w:val="32"/>
          <w:lang w:val="en-GB"/>
        </w:rPr>
        <w:t xml:space="preserve"> shall be transferred to the respective central charges. As per Section 6 of the Black Money Act, the jurisdiction of a Black Money Act case (BMA Case) shall be decided as per the jurisdiction of the said case under the Income Tax Act, 1961 under Section 120 or any other provision under that Act. This Order of February, 2021 in fact reverses the jurisdiction Order issued vide Notification No.73/2015 dated 24/08/2015 giving jurisdiction to territorial Officers. </w:t>
      </w:r>
    </w:p>
    <w:p w:rsidR="008849BE" w:rsidRPr="00C1091F" w:rsidRDefault="008849BE" w:rsidP="008849BE">
      <w:pPr>
        <w:pStyle w:val="ListParagraph"/>
        <w:spacing w:line="480" w:lineRule="auto"/>
        <w:rPr>
          <w:rFonts w:ascii="Arial" w:hAnsi="Arial" w:cs="Arial"/>
          <w:sz w:val="32"/>
          <w:szCs w:val="32"/>
          <w:lang w:val="en-GB"/>
        </w:rPr>
      </w:pPr>
    </w:p>
    <w:p w:rsidR="008849BE" w:rsidRPr="00C1091F" w:rsidRDefault="008849BE"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hAnsi="Arial" w:cs="Arial"/>
          <w:sz w:val="32"/>
          <w:szCs w:val="32"/>
          <w:lang w:val="en-GB"/>
        </w:rPr>
        <w:lastRenderedPageBreak/>
        <w:t xml:space="preserve">Without prejudice to the facts, that our case is outside of BM Act, even if there is jurisdiction that it lay with the DIT (Investigation) and his subordinates as the information from Swiss Authorities was called </w:t>
      </w:r>
      <w:r w:rsidR="007B0DD4" w:rsidRPr="00C1091F">
        <w:rPr>
          <w:rFonts w:ascii="Arial" w:hAnsi="Arial" w:cs="Arial"/>
          <w:sz w:val="32"/>
          <w:szCs w:val="32"/>
          <w:lang w:val="en-GB"/>
        </w:rPr>
        <w:t>by him and hence</w:t>
      </w:r>
      <w:r w:rsidRPr="00C1091F">
        <w:rPr>
          <w:rFonts w:ascii="Arial" w:hAnsi="Arial" w:cs="Arial"/>
          <w:sz w:val="32"/>
          <w:szCs w:val="32"/>
          <w:lang w:val="en-GB"/>
        </w:rPr>
        <w:t xml:space="preserve"> Jurisdiction in our case continued with the Investigation Wing as per notification of the year 2021. </w:t>
      </w:r>
    </w:p>
    <w:p w:rsidR="008849BE" w:rsidRPr="00C1091F" w:rsidRDefault="008849BE" w:rsidP="008849BE">
      <w:pPr>
        <w:pStyle w:val="ListParagraph"/>
        <w:spacing w:line="480" w:lineRule="auto"/>
        <w:rPr>
          <w:rFonts w:ascii="Arial" w:hAnsi="Arial" w:cs="Arial"/>
          <w:sz w:val="32"/>
          <w:szCs w:val="32"/>
          <w:lang w:val="en-GB"/>
        </w:rPr>
      </w:pPr>
    </w:p>
    <w:p w:rsidR="008849BE" w:rsidRPr="00C1091F" w:rsidRDefault="008849BE"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hAnsi="Arial" w:cs="Arial"/>
          <w:sz w:val="32"/>
          <w:szCs w:val="32"/>
          <w:lang w:val="en-GB"/>
        </w:rPr>
        <w:t>Hence Notice issued on 11/10/2021 and 02.02.2023 by the Addl. CIT, Central Range is without jurisdiction as the Order of 23</w:t>
      </w:r>
      <w:r w:rsidRPr="00C1091F">
        <w:rPr>
          <w:rFonts w:ascii="Arial" w:hAnsi="Arial" w:cs="Arial"/>
          <w:sz w:val="32"/>
          <w:szCs w:val="32"/>
          <w:vertAlign w:val="superscript"/>
          <w:lang w:val="en-GB"/>
        </w:rPr>
        <w:t>rd</w:t>
      </w:r>
      <w:r w:rsidRPr="00C1091F">
        <w:rPr>
          <w:rFonts w:ascii="Arial" w:hAnsi="Arial" w:cs="Arial"/>
          <w:sz w:val="32"/>
          <w:szCs w:val="32"/>
          <w:lang w:val="en-GB"/>
        </w:rPr>
        <w:t xml:space="preserve"> February, 2021 clearly stipulates that the Order will not apply to cases wherein ADIT (Inv.)/DDIT (Inv.) is exercising jurisdiction under Black Money Act as per CBDT’s Notification issued vide S.O. 1590 (E) dated 16/05/2017. </w:t>
      </w:r>
    </w:p>
    <w:p w:rsidR="008849BE" w:rsidRPr="00C1091F" w:rsidRDefault="008849BE" w:rsidP="008849BE">
      <w:pPr>
        <w:pStyle w:val="ListParagraph"/>
        <w:spacing w:line="480" w:lineRule="auto"/>
        <w:rPr>
          <w:rFonts w:ascii="Arial" w:hAnsi="Arial" w:cs="Arial"/>
          <w:sz w:val="32"/>
          <w:szCs w:val="32"/>
          <w:lang w:val="en-GB"/>
        </w:rPr>
      </w:pPr>
    </w:p>
    <w:p w:rsidR="00AA0D73" w:rsidRPr="00C1091F" w:rsidRDefault="00AA0D73" w:rsidP="008849BE">
      <w:pPr>
        <w:pStyle w:val="ListParagraph"/>
        <w:numPr>
          <w:ilvl w:val="0"/>
          <w:numId w:val="1"/>
        </w:numPr>
        <w:spacing w:after="0" w:line="480" w:lineRule="auto"/>
        <w:jc w:val="both"/>
        <w:rPr>
          <w:rFonts w:ascii="Arial" w:hAnsi="Arial" w:cs="Arial"/>
          <w:sz w:val="32"/>
          <w:szCs w:val="32"/>
          <w:lang w:val="en-GB"/>
        </w:rPr>
      </w:pPr>
      <w:r w:rsidRPr="00C1091F">
        <w:rPr>
          <w:rFonts w:ascii="Arial" w:eastAsia="Times New Roman" w:hAnsi="Arial" w:cs="Arial"/>
          <w:color w:val="000000"/>
          <w:sz w:val="32"/>
          <w:szCs w:val="32"/>
        </w:rPr>
        <w:t xml:space="preserve">Without prejudice to above, it is humbly submitted that in the notice </w:t>
      </w:r>
      <w:r w:rsidRPr="00C1091F">
        <w:rPr>
          <w:rFonts w:ascii="Arial" w:eastAsia="Times New Roman" w:hAnsi="Arial" w:cs="Arial"/>
          <w:b/>
          <w:bCs/>
          <w:color w:val="000000"/>
          <w:sz w:val="32"/>
          <w:szCs w:val="32"/>
        </w:rPr>
        <w:t>bearing no. ITBA/COM/F/17/2021-22/1036289649(1) &amp; ITBA/COM/F/17/2022-23/1049363321(1)</w:t>
      </w:r>
      <w:r w:rsidRPr="00C1091F">
        <w:rPr>
          <w:rFonts w:ascii="Arial" w:eastAsia="Times New Roman" w:hAnsi="Arial" w:cs="Arial"/>
          <w:color w:val="000000"/>
          <w:sz w:val="32"/>
          <w:szCs w:val="32"/>
        </w:rPr>
        <w:t xml:space="preserve"> your goodself has also asked for details/information regarding income, assets in India </w:t>
      </w:r>
      <w:r w:rsidRPr="00C1091F">
        <w:rPr>
          <w:rFonts w:ascii="Arial" w:eastAsia="Times New Roman" w:hAnsi="Arial" w:cs="Arial"/>
          <w:color w:val="000000"/>
          <w:sz w:val="32"/>
          <w:szCs w:val="32"/>
        </w:rPr>
        <w:lastRenderedPageBreak/>
        <w:t>owned/held by Noticee, though the same are outside the scope of BM Act, however, the information/documents regarding the same are being submitted in regards to Indian income which is only source of income owned by assessee. However this information is submitted just for compliance of the notice since assessee is a law abiding citizen and this is without prejudice to our rights and remedies including constitutional remedies including filing civil and writ petition to fight for justice based on natural principle.</w:t>
      </w:r>
    </w:p>
    <w:p w:rsidR="00AA0D73" w:rsidRPr="00C1091F" w:rsidRDefault="00AA0D73" w:rsidP="00AA0D73">
      <w:pPr>
        <w:pStyle w:val="ListParagraph"/>
        <w:spacing w:line="480" w:lineRule="auto"/>
        <w:rPr>
          <w:rFonts w:ascii="Arial" w:eastAsia="Times New Roman" w:hAnsi="Arial" w:cs="Arial"/>
          <w:color w:val="000000"/>
          <w:sz w:val="32"/>
          <w:szCs w:val="32"/>
        </w:rPr>
      </w:pPr>
    </w:p>
    <w:p w:rsidR="00AA0D73" w:rsidRPr="00C1091F" w:rsidRDefault="00AA0D73" w:rsidP="008849BE">
      <w:pPr>
        <w:pStyle w:val="ListParagraph"/>
        <w:numPr>
          <w:ilvl w:val="0"/>
          <w:numId w:val="2"/>
        </w:numPr>
        <w:spacing w:line="480" w:lineRule="auto"/>
        <w:jc w:val="both"/>
        <w:rPr>
          <w:rFonts w:ascii="Arial" w:eastAsia="Times New Roman" w:hAnsi="Arial" w:cs="Arial"/>
          <w:color w:val="000000"/>
          <w:sz w:val="32"/>
          <w:szCs w:val="32"/>
        </w:rPr>
      </w:pPr>
      <w:r w:rsidRPr="00C1091F">
        <w:rPr>
          <w:rFonts w:ascii="Arial" w:eastAsia="Times New Roman" w:hAnsi="Arial" w:cs="Arial"/>
          <w:color w:val="000000"/>
          <w:sz w:val="32"/>
          <w:szCs w:val="32"/>
        </w:rPr>
        <w:t xml:space="preserve">This letter should also be considered as our petition for demand of justice.   </w:t>
      </w:r>
    </w:p>
    <w:p w:rsidR="00AA0D73" w:rsidRPr="00C1091F" w:rsidRDefault="00AA0D73" w:rsidP="00AA0D73">
      <w:pPr>
        <w:spacing w:after="0" w:line="360" w:lineRule="auto"/>
        <w:ind w:left="1134"/>
        <w:jc w:val="both"/>
        <w:rPr>
          <w:rFonts w:ascii="Arial" w:eastAsia="Times New Roman" w:hAnsi="Arial" w:cs="Arial"/>
          <w:color w:val="000000"/>
          <w:sz w:val="32"/>
          <w:szCs w:val="32"/>
        </w:rPr>
      </w:pPr>
      <w:r w:rsidRPr="00C1091F">
        <w:rPr>
          <w:rFonts w:ascii="Arial" w:eastAsia="Times New Roman" w:hAnsi="Arial" w:cs="Arial"/>
          <w:color w:val="000000"/>
          <w:sz w:val="32"/>
          <w:szCs w:val="32"/>
        </w:rPr>
        <w:t>Thanking You,</w:t>
      </w:r>
    </w:p>
    <w:p w:rsidR="00AA0D73" w:rsidRPr="00C1091F" w:rsidRDefault="00AA0D73" w:rsidP="00AA0D73">
      <w:pPr>
        <w:spacing w:after="0" w:line="360" w:lineRule="auto"/>
        <w:ind w:left="1134"/>
        <w:jc w:val="both"/>
        <w:rPr>
          <w:rFonts w:ascii="Arial" w:eastAsia="Times New Roman" w:hAnsi="Arial" w:cs="Arial"/>
          <w:color w:val="000000"/>
          <w:sz w:val="32"/>
          <w:szCs w:val="32"/>
        </w:rPr>
      </w:pPr>
    </w:p>
    <w:p w:rsidR="00AA0D73" w:rsidRPr="00C1091F" w:rsidRDefault="00AA0D73" w:rsidP="00AA0D73">
      <w:pPr>
        <w:spacing w:after="0" w:line="360" w:lineRule="auto"/>
        <w:ind w:left="1134"/>
        <w:jc w:val="both"/>
        <w:rPr>
          <w:rFonts w:ascii="Arial" w:eastAsia="Times New Roman" w:hAnsi="Arial" w:cs="Arial"/>
          <w:color w:val="000000"/>
          <w:sz w:val="32"/>
          <w:szCs w:val="32"/>
        </w:rPr>
      </w:pPr>
    </w:p>
    <w:p w:rsidR="00AA0D73" w:rsidRPr="00C1091F" w:rsidRDefault="00AA0D73" w:rsidP="00AA0D73">
      <w:pPr>
        <w:spacing w:after="0" w:line="360" w:lineRule="auto"/>
        <w:ind w:left="1134"/>
        <w:jc w:val="both"/>
        <w:rPr>
          <w:rFonts w:ascii="Arial" w:eastAsia="Times New Roman" w:hAnsi="Arial" w:cs="Arial"/>
          <w:color w:val="000000"/>
          <w:sz w:val="32"/>
          <w:szCs w:val="32"/>
        </w:rPr>
      </w:pPr>
      <w:r w:rsidRPr="00C1091F">
        <w:rPr>
          <w:rFonts w:ascii="Arial" w:eastAsia="Times New Roman" w:hAnsi="Arial" w:cs="Arial"/>
          <w:color w:val="000000"/>
          <w:sz w:val="32"/>
          <w:szCs w:val="32"/>
        </w:rPr>
        <w:t>[Indu Bala]</w:t>
      </w:r>
    </w:p>
    <w:p w:rsidR="00AA0D73" w:rsidRPr="00C1091F" w:rsidRDefault="00AA0D73" w:rsidP="00AA0D73">
      <w:pPr>
        <w:spacing w:after="0" w:line="360" w:lineRule="auto"/>
        <w:ind w:left="1134"/>
        <w:jc w:val="both"/>
        <w:rPr>
          <w:rFonts w:ascii="Arial" w:eastAsia="Times New Roman" w:hAnsi="Arial" w:cs="Arial"/>
          <w:color w:val="000000"/>
          <w:sz w:val="32"/>
          <w:szCs w:val="32"/>
        </w:rPr>
      </w:pPr>
      <w:r w:rsidRPr="00C1091F">
        <w:rPr>
          <w:rFonts w:ascii="Arial" w:eastAsia="Times New Roman" w:hAnsi="Arial" w:cs="Arial"/>
          <w:color w:val="000000"/>
          <w:sz w:val="32"/>
          <w:szCs w:val="32"/>
        </w:rPr>
        <w:t>Humble Noticee</w:t>
      </w:r>
    </w:p>
    <w:p w:rsidR="00AA0D73" w:rsidRPr="00C1091F" w:rsidRDefault="00AA0D73" w:rsidP="00AA0D73">
      <w:pPr>
        <w:spacing w:after="0" w:line="360" w:lineRule="auto"/>
        <w:ind w:left="1134"/>
        <w:jc w:val="both"/>
        <w:rPr>
          <w:rFonts w:ascii="Arial" w:eastAsia="Times New Roman" w:hAnsi="Arial" w:cs="Arial"/>
          <w:color w:val="000000"/>
          <w:sz w:val="32"/>
          <w:szCs w:val="32"/>
        </w:rPr>
      </w:pPr>
      <w:r w:rsidRPr="00C1091F">
        <w:rPr>
          <w:rFonts w:ascii="Arial" w:eastAsia="Times New Roman" w:hAnsi="Arial" w:cs="Arial"/>
          <w:color w:val="000000"/>
          <w:sz w:val="32"/>
          <w:szCs w:val="32"/>
        </w:rPr>
        <w:t>06, Technocrate Society,</w:t>
      </w:r>
    </w:p>
    <w:p w:rsidR="00CA35C6" w:rsidRPr="00C1091F" w:rsidRDefault="00AA0D73" w:rsidP="00AA0D73">
      <w:pPr>
        <w:spacing w:after="0" w:line="360" w:lineRule="auto"/>
        <w:ind w:left="1134"/>
        <w:jc w:val="both"/>
        <w:rPr>
          <w:rFonts w:ascii="Arial" w:eastAsia="Times New Roman" w:hAnsi="Arial" w:cs="Arial"/>
          <w:color w:val="000000"/>
          <w:sz w:val="32"/>
          <w:szCs w:val="32"/>
        </w:rPr>
      </w:pPr>
      <w:r w:rsidRPr="00C1091F">
        <w:rPr>
          <w:rFonts w:ascii="Arial" w:eastAsia="Times New Roman" w:hAnsi="Arial" w:cs="Arial"/>
          <w:color w:val="000000"/>
          <w:sz w:val="32"/>
          <w:szCs w:val="32"/>
        </w:rPr>
        <w:t>Moti Mangri Scheme, Udaipur.(Raj.)</w:t>
      </w:r>
    </w:p>
    <w:sectPr w:rsidR="00CA35C6" w:rsidRPr="00C1091F" w:rsidSect="004E3A5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38" w:rsidRDefault="00134438">
      <w:pPr>
        <w:spacing w:after="0" w:line="240" w:lineRule="auto"/>
      </w:pPr>
      <w:r>
        <w:separator/>
      </w:r>
    </w:p>
  </w:endnote>
  <w:endnote w:type="continuationSeparator" w:id="0">
    <w:p w:rsidR="00134438" w:rsidRDefault="0013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492044"/>
      <w:docPartObj>
        <w:docPartGallery w:val="Page Numbers (Bottom of Page)"/>
        <w:docPartUnique/>
      </w:docPartObj>
    </w:sdtPr>
    <w:sdtContent>
      <w:sdt>
        <w:sdtPr>
          <w:id w:val="1728636285"/>
          <w:docPartObj>
            <w:docPartGallery w:val="Page Numbers (Top of Page)"/>
            <w:docPartUnique/>
          </w:docPartObj>
        </w:sdtPr>
        <w:sdtContent>
          <w:p w:rsidR="001C711D" w:rsidRDefault="001C711D">
            <w:pPr>
              <w:pStyle w:val="Footer"/>
              <w:jc w:val="center"/>
            </w:pPr>
          </w:p>
          <w:p w:rsidR="001C711D" w:rsidRDefault="001C711D">
            <w:pPr>
              <w:pStyle w:val="Footer"/>
              <w:jc w:val="center"/>
            </w:pPr>
          </w:p>
          <w:p w:rsidR="001C711D" w:rsidRDefault="001C711D">
            <w:pPr>
              <w:pStyle w:val="Footer"/>
              <w:jc w:val="center"/>
            </w:pPr>
          </w:p>
          <w:p w:rsidR="001C711D" w:rsidRDefault="001C711D">
            <w:pPr>
              <w:pStyle w:val="Footer"/>
              <w:jc w:val="center"/>
            </w:pPr>
          </w:p>
          <w:p w:rsidR="001C711D" w:rsidRDefault="001C711D">
            <w:pPr>
              <w:pStyle w:val="Footer"/>
              <w:jc w:val="center"/>
            </w:pPr>
          </w:p>
          <w:p w:rsidR="001C711D" w:rsidRDefault="001C711D">
            <w:pPr>
              <w:pStyle w:val="Footer"/>
              <w:jc w:val="center"/>
            </w:pPr>
          </w:p>
          <w:p w:rsidR="001C711D" w:rsidRDefault="001C71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036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3690">
              <w:rPr>
                <w:b/>
                <w:bCs/>
                <w:noProof/>
              </w:rPr>
              <w:t>8</w:t>
            </w:r>
            <w:r>
              <w:rPr>
                <w:b/>
                <w:bCs/>
                <w:sz w:val="24"/>
                <w:szCs w:val="24"/>
              </w:rPr>
              <w:fldChar w:fldCharType="end"/>
            </w:r>
          </w:p>
        </w:sdtContent>
      </w:sdt>
    </w:sdtContent>
  </w:sdt>
  <w:p w:rsidR="001C711D" w:rsidRDefault="001C7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38" w:rsidRDefault="00134438">
      <w:pPr>
        <w:spacing w:after="0" w:line="240" w:lineRule="auto"/>
      </w:pPr>
      <w:r>
        <w:separator/>
      </w:r>
    </w:p>
  </w:footnote>
  <w:footnote w:type="continuationSeparator" w:id="0">
    <w:p w:rsidR="00134438" w:rsidRDefault="00134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978A1"/>
    <w:multiLevelType w:val="hybridMultilevel"/>
    <w:tmpl w:val="CB0E637E"/>
    <w:lvl w:ilvl="0" w:tplc="485A0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5275D7"/>
    <w:multiLevelType w:val="hybridMultilevel"/>
    <w:tmpl w:val="CB0E637E"/>
    <w:lvl w:ilvl="0" w:tplc="485A0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73"/>
    <w:rsid w:val="00134438"/>
    <w:rsid w:val="001C711D"/>
    <w:rsid w:val="00343F06"/>
    <w:rsid w:val="004E3A5B"/>
    <w:rsid w:val="007B0DD4"/>
    <w:rsid w:val="008849BE"/>
    <w:rsid w:val="00903690"/>
    <w:rsid w:val="00992AB4"/>
    <w:rsid w:val="00A76574"/>
    <w:rsid w:val="00AA0D73"/>
    <w:rsid w:val="00C1091F"/>
    <w:rsid w:val="00CA35C6"/>
    <w:rsid w:val="00DF1F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73"/>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D73"/>
    <w:pPr>
      <w:ind w:left="720"/>
      <w:contextualSpacing/>
    </w:pPr>
  </w:style>
  <w:style w:type="paragraph" w:styleId="Footer">
    <w:name w:val="footer"/>
    <w:basedOn w:val="Normal"/>
    <w:link w:val="FooterChar"/>
    <w:uiPriority w:val="99"/>
    <w:unhideWhenUsed/>
    <w:rsid w:val="00AA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73"/>
    <w:rPr>
      <w:rFonts w:eastAsiaTheme="minorEastAsia"/>
      <w:lang w:eastAsia="en-IN"/>
    </w:rPr>
  </w:style>
  <w:style w:type="paragraph" w:styleId="NoSpacing">
    <w:name w:val="No Spacing"/>
    <w:uiPriority w:val="1"/>
    <w:qFormat/>
    <w:rsid w:val="00AA0D73"/>
    <w:pPr>
      <w:spacing w:after="0" w:line="240" w:lineRule="auto"/>
    </w:pPr>
    <w:rPr>
      <w:rFonts w:eastAsiaTheme="minorEastAsia"/>
      <w:lang w:eastAsia="en-IN"/>
    </w:rPr>
  </w:style>
  <w:style w:type="paragraph" w:styleId="Header">
    <w:name w:val="header"/>
    <w:basedOn w:val="Normal"/>
    <w:link w:val="HeaderChar"/>
    <w:uiPriority w:val="99"/>
    <w:unhideWhenUsed/>
    <w:rsid w:val="008849B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84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73"/>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D73"/>
    <w:pPr>
      <w:ind w:left="720"/>
      <w:contextualSpacing/>
    </w:pPr>
  </w:style>
  <w:style w:type="paragraph" w:styleId="Footer">
    <w:name w:val="footer"/>
    <w:basedOn w:val="Normal"/>
    <w:link w:val="FooterChar"/>
    <w:uiPriority w:val="99"/>
    <w:unhideWhenUsed/>
    <w:rsid w:val="00AA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73"/>
    <w:rPr>
      <w:rFonts w:eastAsiaTheme="minorEastAsia"/>
      <w:lang w:eastAsia="en-IN"/>
    </w:rPr>
  </w:style>
  <w:style w:type="paragraph" w:styleId="NoSpacing">
    <w:name w:val="No Spacing"/>
    <w:uiPriority w:val="1"/>
    <w:qFormat/>
    <w:rsid w:val="00AA0D73"/>
    <w:pPr>
      <w:spacing w:after="0" w:line="240" w:lineRule="auto"/>
    </w:pPr>
    <w:rPr>
      <w:rFonts w:eastAsiaTheme="minorEastAsia"/>
      <w:lang w:eastAsia="en-IN"/>
    </w:rPr>
  </w:style>
  <w:style w:type="paragraph" w:styleId="Header">
    <w:name w:val="header"/>
    <w:basedOn w:val="Normal"/>
    <w:link w:val="HeaderChar"/>
    <w:uiPriority w:val="99"/>
    <w:unhideWhenUsed/>
    <w:rsid w:val="008849B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8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vandana</dc:creator>
  <cp:lastModifiedBy>vandana</cp:lastModifiedBy>
  <cp:revision>2</cp:revision>
  <dcterms:created xsi:type="dcterms:W3CDTF">2023-04-29T11:46:00Z</dcterms:created>
  <dcterms:modified xsi:type="dcterms:W3CDTF">2023-04-29T11:46:00Z</dcterms:modified>
</cp:coreProperties>
</file>