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Shifting of situs of 15.85% shareholding in VEL from onshore (India) to offshore (Mauritius) – through voluntary liquidation of ETIL, Chennai, an Indian company - A colourable device used for tax avoidance. </w:t>
      </w:r>
    </w:p>
    <w:p w:rsidR="00000000" w:rsidDel="00000000" w:rsidP="00000000" w:rsidRDefault="00000000" w:rsidRPr="00000000" w14:paraId="00000002">
      <w:pPr>
        <w:spacing w:after="0" w:lineRule="auto"/>
        <w:jc w:val="both"/>
        <w:rPr>
          <w:rFonts w:ascii="Verdana" w:cs="Verdana" w:eastAsia="Verdana" w:hAnsi="Verdana"/>
          <w:b w:val="1"/>
          <w:sz w:val="24"/>
          <w:szCs w:val="24"/>
          <w:u w:val="single"/>
        </w:rPr>
      </w:pPr>
      <w:r w:rsidDel="00000000" w:rsidR="00000000" w:rsidRPr="00000000">
        <w:rPr>
          <w:rtl w:val="0"/>
        </w:rPr>
      </w:r>
    </w:p>
    <w:p w:rsidR="00000000" w:rsidDel="00000000" w:rsidP="00000000" w:rsidRDefault="00000000" w:rsidRPr="00000000" w14:paraId="00000003">
      <w:pPr>
        <w:spacing w:after="0" w:lineRule="auto"/>
        <w:jc w:val="both"/>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How shareholding of 15.85% in VEL was transferred from ETHL, India to ETIL, India and thereafter to ECL, Mauritius: </w:t>
      </w:r>
    </w:p>
    <w:p w:rsidR="00000000" w:rsidDel="00000000" w:rsidP="00000000" w:rsidRDefault="00000000" w:rsidRPr="00000000" w14:paraId="00000004">
      <w:pPr>
        <w:spacing w:after="0" w:lineRule="auto"/>
        <w:jc w:val="both"/>
        <w:rPr>
          <w:rFonts w:ascii="Verdana" w:cs="Verdana" w:eastAsia="Verdana" w:hAnsi="Verdana"/>
          <w:b w:val="1"/>
          <w:sz w:val="24"/>
          <w:szCs w:val="24"/>
          <w:u w:val="single"/>
        </w:rPr>
      </w:pPr>
      <w:r w:rsidDel="00000000" w:rsidR="00000000" w:rsidRPr="00000000">
        <w:rPr>
          <w:rtl w:val="0"/>
        </w:rPr>
      </w:r>
    </w:p>
    <w:p w:rsidR="00000000" w:rsidDel="00000000" w:rsidP="00000000" w:rsidRDefault="00000000" w:rsidRPr="00000000" w14:paraId="00000005">
      <w:pPr>
        <w:spacing w:after="0" w:lineRule="auto"/>
        <w:jc w:val="both"/>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Sequence of events (in summary): </w:t>
      </w:r>
    </w:p>
    <w:p w:rsidR="00000000" w:rsidDel="00000000" w:rsidP="00000000" w:rsidRDefault="00000000" w:rsidRPr="00000000" w14:paraId="00000006">
      <w:pPr>
        <w:spacing w:after="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1</w:t>
      </w:r>
      <w:r w:rsidDel="00000000" w:rsidR="00000000" w:rsidRPr="00000000">
        <w:rPr>
          <w:rFonts w:ascii="Verdana" w:cs="Verdana" w:eastAsia="Verdana" w:hAnsi="Verdana"/>
          <w:sz w:val="24"/>
          <w:szCs w:val="24"/>
          <w:rtl w:val="0"/>
        </w:rPr>
        <w:t xml:space="preserve">.</w:t>
        <w:tab/>
        <w:t xml:space="preserve">Essar group had a total onshore shareholding of </w:t>
      </w:r>
      <w:r w:rsidDel="00000000" w:rsidR="00000000" w:rsidRPr="00000000">
        <w:rPr>
          <w:rFonts w:ascii="Verdana" w:cs="Verdana" w:eastAsia="Verdana" w:hAnsi="Verdana"/>
          <w:b w:val="1"/>
          <w:sz w:val="24"/>
          <w:szCs w:val="24"/>
          <w:rtl w:val="0"/>
        </w:rPr>
        <w:t xml:space="preserve">33.01% </w:t>
      </w:r>
      <w:r w:rsidDel="00000000" w:rsidR="00000000" w:rsidRPr="00000000">
        <w:rPr>
          <w:rFonts w:ascii="Verdana" w:cs="Verdana" w:eastAsia="Verdana" w:hAnsi="Verdana"/>
          <w:sz w:val="24"/>
          <w:szCs w:val="24"/>
          <w:rtl w:val="0"/>
        </w:rPr>
        <w:t xml:space="preserve">in Hutchison Essar Ltd., later known as Vodafone Essar Ltd. (HEL/VEL).</w:t>
      </w:r>
    </w:p>
    <w:p w:rsidR="00000000" w:rsidDel="00000000" w:rsidP="00000000" w:rsidRDefault="00000000" w:rsidRPr="00000000" w14:paraId="00000007">
      <w:pPr>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8">
      <w:pPr>
        <w:spacing w:after="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2</w:t>
      </w:r>
      <w:r w:rsidDel="00000000" w:rsidR="00000000" w:rsidRPr="00000000">
        <w:rPr>
          <w:rFonts w:ascii="Verdana" w:cs="Verdana" w:eastAsia="Verdana" w:hAnsi="Verdana"/>
          <w:sz w:val="24"/>
          <w:szCs w:val="24"/>
          <w:rtl w:val="0"/>
        </w:rPr>
        <w:t xml:space="preserve">.</w:t>
        <w:tab/>
        <w:t xml:space="preserve">Essar Teleholdings Limited, Chennai [ETHL, in short] was one of the Essar group flagship companies holding </w:t>
      </w:r>
      <w:r w:rsidDel="00000000" w:rsidR="00000000" w:rsidRPr="00000000">
        <w:rPr>
          <w:rFonts w:ascii="Verdana" w:cs="Verdana" w:eastAsia="Verdana" w:hAnsi="Verdana"/>
          <w:b w:val="1"/>
          <w:sz w:val="24"/>
          <w:szCs w:val="24"/>
          <w:rtl w:val="0"/>
        </w:rPr>
        <w:t xml:space="preserve">26.82%</w:t>
      </w:r>
      <w:r w:rsidDel="00000000" w:rsidR="00000000" w:rsidRPr="00000000">
        <w:rPr>
          <w:rFonts w:ascii="Verdana" w:cs="Verdana" w:eastAsia="Verdana" w:hAnsi="Verdana"/>
          <w:sz w:val="24"/>
          <w:szCs w:val="24"/>
          <w:rtl w:val="0"/>
        </w:rPr>
        <w:t xml:space="preserve"> stake in HEL/VEL on part of the group, the balance </w:t>
      </w:r>
      <w:r w:rsidDel="00000000" w:rsidR="00000000" w:rsidRPr="00000000">
        <w:rPr>
          <w:rFonts w:ascii="Verdana" w:cs="Verdana" w:eastAsia="Verdana" w:hAnsi="Verdana"/>
          <w:b w:val="1"/>
          <w:sz w:val="24"/>
          <w:szCs w:val="24"/>
          <w:rtl w:val="0"/>
        </w:rPr>
        <w:t xml:space="preserve">6.19%</w:t>
      </w:r>
      <w:r w:rsidDel="00000000" w:rsidR="00000000" w:rsidRPr="00000000">
        <w:rPr>
          <w:rFonts w:ascii="Verdana" w:cs="Verdana" w:eastAsia="Verdana" w:hAnsi="Verdana"/>
          <w:sz w:val="24"/>
          <w:szCs w:val="24"/>
          <w:rtl w:val="0"/>
        </w:rPr>
        <w:t xml:space="preserve"> being held in name of ECOM, Mauritius.</w:t>
      </w:r>
    </w:p>
    <w:p w:rsidR="00000000" w:rsidDel="00000000" w:rsidP="00000000" w:rsidRDefault="00000000" w:rsidRPr="00000000" w14:paraId="00000009">
      <w:pPr>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spacing w:after="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3</w:t>
      </w:r>
      <w:r w:rsidDel="00000000" w:rsidR="00000000" w:rsidRPr="00000000">
        <w:rPr>
          <w:rFonts w:ascii="Verdana" w:cs="Verdana" w:eastAsia="Verdana" w:hAnsi="Verdana"/>
          <w:sz w:val="24"/>
          <w:szCs w:val="24"/>
          <w:rtl w:val="0"/>
        </w:rPr>
        <w:t xml:space="preserve">.</w:t>
        <w:tab/>
        <w:t xml:space="preserve">The aforesaid 26.82% share in VEL can be said to be consisting of two components viz. (i) </w:t>
      </w:r>
      <w:r w:rsidDel="00000000" w:rsidR="00000000" w:rsidRPr="00000000">
        <w:rPr>
          <w:rFonts w:ascii="Verdana" w:cs="Verdana" w:eastAsia="Verdana" w:hAnsi="Verdana"/>
          <w:b w:val="1"/>
          <w:sz w:val="24"/>
          <w:szCs w:val="24"/>
          <w:rtl w:val="0"/>
        </w:rPr>
        <w:t xml:space="preserve">10.97% </w:t>
      </w:r>
      <w:r w:rsidDel="00000000" w:rsidR="00000000" w:rsidRPr="00000000">
        <w:rPr>
          <w:rFonts w:ascii="Verdana" w:cs="Verdana" w:eastAsia="Verdana" w:hAnsi="Verdana"/>
          <w:sz w:val="24"/>
          <w:szCs w:val="24"/>
          <w:rtl w:val="0"/>
        </w:rPr>
        <w:t xml:space="preserve">share which ETHL shall retain as onshore component &amp; (ii) </w:t>
      </w:r>
      <w:r w:rsidDel="00000000" w:rsidR="00000000" w:rsidRPr="00000000">
        <w:rPr>
          <w:rFonts w:ascii="Verdana" w:cs="Verdana" w:eastAsia="Verdana" w:hAnsi="Verdana"/>
          <w:b w:val="1"/>
          <w:sz w:val="24"/>
          <w:szCs w:val="24"/>
          <w:rtl w:val="0"/>
        </w:rPr>
        <w:t xml:space="preserve">15.85%</w:t>
      </w:r>
      <w:r w:rsidDel="00000000" w:rsidR="00000000" w:rsidRPr="00000000">
        <w:rPr>
          <w:rFonts w:ascii="Verdana" w:cs="Verdana" w:eastAsia="Verdana" w:hAnsi="Verdana"/>
          <w:sz w:val="24"/>
          <w:szCs w:val="24"/>
          <w:rtl w:val="0"/>
        </w:rPr>
        <w:t xml:space="preserve"> share which shall be transferred offshore to ECL, Mauritius through a sequence of events having no commercial substance. </w:t>
      </w:r>
    </w:p>
    <w:p w:rsidR="00000000" w:rsidDel="00000000" w:rsidP="00000000" w:rsidRDefault="00000000" w:rsidRPr="00000000" w14:paraId="0000000B">
      <w:pPr>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spacing w:after="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4</w:t>
      </w:r>
      <w:r w:rsidDel="00000000" w:rsidR="00000000" w:rsidRPr="00000000">
        <w:rPr>
          <w:rFonts w:ascii="Verdana" w:cs="Verdana" w:eastAsia="Verdana" w:hAnsi="Verdana"/>
          <w:sz w:val="24"/>
          <w:szCs w:val="24"/>
          <w:rtl w:val="0"/>
        </w:rPr>
        <w:t xml:space="preserve">.</w:t>
        <w:tab/>
        <w:t xml:space="preserve">Essar Telecom Investment Limited [ETIL, in short], India incorporated in November, 2004 with ETHL India as its 99.99 % shareholder. ETIL, India had no holding in HEL/VEL at this stage.</w:t>
      </w:r>
    </w:p>
    <w:p w:rsidR="00000000" w:rsidDel="00000000" w:rsidP="00000000" w:rsidRDefault="00000000" w:rsidRPr="00000000" w14:paraId="0000000D">
      <w:pPr>
        <w:tabs>
          <w:tab w:val="left" w:leader="none" w:pos="-630"/>
        </w:tabs>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tabs>
          <w:tab w:val="left" w:leader="none" w:pos="-630"/>
        </w:tabs>
        <w:spacing w:after="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5</w:t>
      </w:r>
      <w:r w:rsidDel="00000000" w:rsidR="00000000" w:rsidRPr="00000000">
        <w:rPr>
          <w:rFonts w:ascii="Verdana" w:cs="Verdana" w:eastAsia="Verdana" w:hAnsi="Verdana"/>
          <w:sz w:val="24"/>
          <w:szCs w:val="24"/>
          <w:rtl w:val="0"/>
        </w:rPr>
        <w:t xml:space="preserve">.</w:t>
        <w:tab/>
        <w:t xml:space="preserve">In November 2005, Government of India decided to increase the FDI limit in telecom sector to 74% from extant limit of 49%. Understanding was reached between Indian shareholders of HEL that Essar group will maintain at least 10.97% Minimum Indian content through ETHL, Chennai.  Thus, a window arose for the Essar group to move the balance 15.85% [26.82% minus 10.97%] to offshore. Through this structuring, the group could claim capital gains exemption on sale of these shares at a later date. </w:t>
      </w:r>
    </w:p>
    <w:p w:rsidR="00000000" w:rsidDel="00000000" w:rsidP="00000000" w:rsidRDefault="00000000" w:rsidRPr="00000000" w14:paraId="0000000F">
      <w:pPr>
        <w:tabs>
          <w:tab w:val="left" w:leader="none" w:pos="-630"/>
        </w:tabs>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0">
      <w:pPr>
        <w:tabs>
          <w:tab w:val="left" w:leader="none" w:pos="-630"/>
        </w:tabs>
        <w:spacing w:after="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6</w:t>
      </w:r>
      <w:r w:rsidDel="00000000" w:rsidR="00000000" w:rsidRPr="00000000">
        <w:rPr>
          <w:rFonts w:ascii="Verdana" w:cs="Verdana" w:eastAsia="Verdana" w:hAnsi="Verdana"/>
          <w:sz w:val="24"/>
          <w:szCs w:val="24"/>
          <w:rtl w:val="0"/>
        </w:rPr>
        <w:t xml:space="preserve">. 15.85% shareholding in HEL/VEL was consolidated in hands of ETIL, India in the following manner:</w:t>
      </w:r>
    </w:p>
    <w:p w:rsidR="00000000" w:rsidDel="00000000" w:rsidP="00000000" w:rsidRDefault="00000000" w:rsidRPr="00000000" w14:paraId="00000011">
      <w:pPr>
        <w:tabs>
          <w:tab w:val="left" w:leader="none" w:pos="-630"/>
        </w:tabs>
        <w:spacing w:after="0" w:lineRule="auto"/>
        <w:jc w:val="both"/>
        <w:rPr>
          <w:rFonts w:ascii="Verdana" w:cs="Verdana" w:eastAsia="Verdana" w:hAnsi="Verdana"/>
          <w:sz w:val="24"/>
          <w:szCs w:val="24"/>
        </w:rPr>
      </w:pPr>
      <w:r w:rsidDel="00000000" w:rsidR="00000000" w:rsidRPr="00000000">
        <w:rPr>
          <w:rtl w:val="0"/>
        </w:rPr>
      </w:r>
    </w:p>
    <w:tbl>
      <w:tblPr>
        <w:tblStyle w:val="Table1"/>
        <w:tblW w:w="9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5"/>
        <w:gridCol w:w="2379"/>
        <w:gridCol w:w="1267"/>
        <w:gridCol w:w="1612"/>
        <w:gridCol w:w="3403"/>
        <w:tblGridChange w:id="0">
          <w:tblGrid>
            <w:gridCol w:w="945"/>
            <w:gridCol w:w="2379"/>
            <w:gridCol w:w="1267"/>
            <w:gridCol w:w="1612"/>
            <w:gridCol w:w="3403"/>
          </w:tblGrid>
        </w:tblGridChange>
      </w:tblGrid>
      <w:tr>
        <w:trPr>
          <w:cantSplit w:val="0"/>
          <w:tblHeader w:val="0"/>
        </w:trPr>
        <w:tc>
          <w:tcPr>
            <w:gridSpan w:val="5"/>
          </w:tcPr>
          <w:p w:rsidR="00000000" w:rsidDel="00000000" w:rsidP="00000000" w:rsidRDefault="00000000" w:rsidRPr="00000000" w14:paraId="00000012">
            <w:pPr>
              <w:spacing w:after="0" w:lineRule="auto"/>
              <w:rPr>
                <w:rFonts w:ascii="Verdana" w:cs="Verdana" w:eastAsia="Verdana" w:hAnsi="Verdana"/>
                <w:sz w:val="24"/>
                <w:szCs w:val="24"/>
                <w:u w:val="single"/>
              </w:rPr>
            </w:pPr>
            <w:r w:rsidDel="00000000" w:rsidR="00000000" w:rsidRPr="00000000">
              <w:rPr>
                <w:rFonts w:ascii="Verdana" w:cs="Verdana" w:eastAsia="Verdana" w:hAnsi="Verdana"/>
                <w:sz w:val="24"/>
                <w:szCs w:val="24"/>
                <w:u w:val="single"/>
                <w:rtl w:val="0"/>
              </w:rPr>
              <w:t xml:space="preserve">Breakup of ETIL’s holding of 15.85% in Vodafone Essar Limited: </w:t>
            </w:r>
          </w:p>
        </w:tc>
      </w:tr>
      <w:tr>
        <w:trPr>
          <w:cantSplit w:val="0"/>
          <w:trHeight w:val="285" w:hRule="atLeast"/>
          <w:tblHeader w:val="0"/>
        </w:trPr>
        <w:tc>
          <w:tcPr/>
          <w:p w:rsidR="00000000" w:rsidDel="00000000" w:rsidP="00000000" w:rsidRDefault="00000000" w:rsidRPr="00000000" w14:paraId="00000017">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S.No.</w:t>
            </w:r>
          </w:p>
        </w:tc>
        <w:tc>
          <w:tcPr/>
          <w:p w:rsidR="00000000" w:rsidDel="00000000" w:rsidP="00000000" w:rsidRDefault="00000000" w:rsidRPr="00000000" w14:paraId="00000018">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Acquired by ETIL, India from:</w:t>
            </w:r>
          </w:p>
        </w:tc>
        <w:tc>
          <w:tcPr/>
          <w:p w:rsidR="00000000" w:rsidDel="00000000" w:rsidP="00000000" w:rsidRDefault="00000000" w:rsidRPr="00000000" w14:paraId="00000019">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stake in VEL, India </w:t>
            </w:r>
          </w:p>
        </w:tc>
        <w:tc>
          <w:tcPr/>
          <w:p w:rsidR="00000000" w:rsidDel="00000000" w:rsidP="00000000" w:rsidRDefault="00000000" w:rsidRPr="00000000" w14:paraId="0000001A">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Date of acquisition </w:t>
            </w:r>
          </w:p>
        </w:tc>
        <w:tc>
          <w:tcPr/>
          <w:p w:rsidR="00000000" w:rsidDel="00000000" w:rsidP="00000000" w:rsidRDefault="00000000" w:rsidRPr="00000000" w14:paraId="0000001B">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Remarks</w:t>
            </w:r>
          </w:p>
        </w:tc>
      </w:tr>
      <w:tr>
        <w:trPr>
          <w:cantSplit w:val="0"/>
          <w:trHeight w:val="285" w:hRule="atLeast"/>
          <w:tblHeader w:val="0"/>
        </w:trPr>
        <w:tc>
          <w:tcPr/>
          <w:p w:rsidR="00000000" w:rsidDel="00000000" w:rsidP="00000000" w:rsidRDefault="00000000" w:rsidRPr="00000000" w14:paraId="0000001C">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p w:rsidR="00000000" w:rsidDel="00000000" w:rsidP="00000000" w:rsidRDefault="00000000" w:rsidRPr="00000000" w14:paraId="0000001D">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Essar Teleholding Ltd, India [ETHL, India]</w:t>
            </w:r>
          </w:p>
        </w:tc>
        <w:tc>
          <w:tcPr/>
          <w:p w:rsidR="00000000" w:rsidDel="00000000" w:rsidP="00000000" w:rsidRDefault="00000000" w:rsidRPr="00000000" w14:paraId="0000001E">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10.05%</w:t>
            </w:r>
          </w:p>
        </w:tc>
        <w:tc>
          <w:tcPr/>
          <w:p w:rsidR="00000000" w:rsidDel="00000000" w:rsidP="00000000" w:rsidRDefault="00000000" w:rsidRPr="00000000" w14:paraId="0000001F">
            <w:pPr>
              <w:spacing w:after="0" w:lineRule="auto"/>
              <w:rPr>
                <w:rFonts w:ascii="Verdana" w:cs="Verdana" w:eastAsia="Verdana" w:hAnsi="Verdana"/>
                <w:sz w:val="24"/>
                <w:szCs w:val="24"/>
              </w:rPr>
            </w:pPr>
            <w:r w:rsidDel="00000000" w:rsidR="00000000" w:rsidRPr="00000000">
              <w:rPr>
                <w:rFonts w:ascii="Verdana" w:cs="Verdana" w:eastAsia="Verdana" w:hAnsi="Verdana"/>
                <w:color w:val="000000"/>
                <w:sz w:val="24"/>
                <w:szCs w:val="24"/>
                <w:highlight w:val="white"/>
                <w:rtl w:val="0"/>
              </w:rPr>
              <w:t xml:space="preserve">17.01.2006</w:t>
            </w:r>
            <w:r w:rsidDel="00000000" w:rsidR="00000000" w:rsidRPr="00000000">
              <w:rPr>
                <w:rtl w:val="0"/>
              </w:rPr>
            </w:r>
          </w:p>
        </w:tc>
        <w:tc>
          <w:tcPr/>
          <w:p w:rsidR="00000000" w:rsidDel="00000000" w:rsidP="00000000" w:rsidRDefault="00000000" w:rsidRPr="00000000" w14:paraId="00000020">
            <w:pPr>
              <w:spacing w:after="0" w:lineRule="auto"/>
              <w:rPr>
                <w:rFonts w:ascii="Verdana" w:cs="Verdana" w:eastAsia="Verdana" w:hAnsi="Verdana"/>
                <w:color w:val="000000"/>
                <w:sz w:val="24"/>
                <w:szCs w:val="24"/>
                <w:highlight w:val="white"/>
              </w:rPr>
            </w:pPr>
            <w:r w:rsidDel="00000000" w:rsidR="00000000" w:rsidRPr="00000000">
              <w:rPr>
                <w:rFonts w:ascii="Verdana" w:cs="Verdana" w:eastAsia="Verdana" w:hAnsi="Verdana"/>
                <w:color w:val="000000"/>
                <w:sz w:val="24"/>
                <w:szCs w:val="24"/>
                <w:highlight w:val="white"/>
                <w:rtl w:val="0"/>
              </w:rPr>
              <w:t xml:space="preserve">In 2 tranches</w:t>
            </w:r>
          </w:p>
        </w:tc>
      </w:tr>
      <w:tr>
        <w:trPr>
          <w:cantSplit w:val="0"/>
          <w:trHeight w:val="285" w:hRule="atLeast"/>
          <w:tblHeader w:val="0"/>
        </w:trPr>
        <w:tc>
          <w:tcPr/>
          <w:p w:rsidR="00000000" w:rsidDel="00000000" w:rsidP="00000000" w:rsidRDefault="00000000" w:rsidRPr="00000000" w14:paraId="00000021">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c>
          <w:tcPr/>
          <w:p w:rsidR="00000000" w:rsidDel="00000000" w:rsidP="00000000" w:rsidRDefault="00000000" w:rsidRPr="00000000" w14:paraId="00000022">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Infrastructure Development Finance Co. Ltd., India [IDFC]</w:t>
            </w:r>
          </w:p>
        </w:tc>
        <w:tc>
          <w:tcPr/>
          <w:p w:rsidR="00000000" w:rsidDel="00000000" w:rsidP="00000000" w:rsidRDefault="00000000" w:rsidRPr="00000000" w14:paraId="00000023">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1.95%</w:t>
            </w:r>
          </w:p>
        </w:tc>
        <w:tc>
          <w:tcPr/>
          <w:p w:rsidR="00000000" w:rsidDel="00000000" w:rsidP="00000000" w:rsidRDefault="00000000" w:rsidRPr="00000000" w14:paraId="00000024">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17.08.2006</w:t>
            </w:r>
          </w:p>
        </w:tc>
        <w:tc>
          <w:tcPr/>
          <w:p w:rsidR="00000000" w:rsidDel="00000000" w:rsidP="00000000" w:rsidRDefault="00000000" w:rsidRPr="00000000" w14:paraId="00000025">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On 21.8.2006 acquired by ETHL from IDFC &amp; transferred on 22.08.2006 to ETIL</w:t>
            </w:r>
          </w:p>
        </w:tc>
      </w:tr>
      <w:tr>
        <w:trPr>
          <w:cantSplit w:val="0"/>
          <w:trHeight w:val="285" w:hRule="atLeast"/>
          <w:tblHeader w:val="0"/>
        </w:trPr>
        <w:tc>
          <w:tcPr/>
          <w:p w:rsidR="00000000" w:rsidDel="00000000" w:rsidP="00000000" w:rsidRDefault="00000000" w:rsidRPr="00000000" w14:paraId="00000026">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c>
          <w:tcPr/>
          <w:p w:rsidR="00000000" w:rsidDel="00000000" w:rsidP="00000000" w:rsidRDefault="00000000" w:rsidRPr="00000000" w14:paraId="00000027">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Telecom opportunities Trust, India/ </w:t>
            </w:r>
            <w:r w:rsidDel="00000000" w:rsidR="00000000" w:rsidRPr="00000000">
              <w:rPr>
                <w:rFonts w:ascii="Verdana" w:cs="Verdana" w:eastAsia="Verdana" w:hAnsi="Verdana"/>
                <w:color w:val="000000"/>
                <w:sz w:val="24"/>
                <w:szCs w:val="24"/>
                <w:highlight w:val="white"/>
                <w:rtl w:val="0"/>
              </w:rPr>
              <w:t xml:space="preserve">UTI Investment Advisory Services Ltd.</w:t>
            </w:r>
            <w:r w:rsidDel="00000000" w:rsidR="00000000" w:rsidRPr="00000000">
              <w:rPr>
                <w:rFonts w:ascii="Verdana" w:cs="Verdana" w:eastAsia="Verdana" w:hAnsi="Verdana"/>
                <w:sz w:val="24"/>
                <w:szCs w:val="24"/>
                <w:rtl w:val="0"/>
              </w:rPr>
              <w:t xml:space="preserve">, India</w:t>
            </w:r>
          </w:p>
        </w:tc>
        <w:tc>
          <w:tcPr/>
          <w:p w:rsidR="00000000" w:rsidDel="00000000" w:rsidP="00000000" w:rsidRDefault="00000000" w:rsidRPr="00000000" w14:paraId="00000028">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3.85%</w:t>
            </w:r>
          </w:p>
        </w:tc>
        <w:tc>
          <w:tcPr/>
          <w:p w:rsidR="00000000" w:rsidDel="00000000" w:rsidP="00000000" w:rsidRDefault="00000000" w:rsidRPr="00000000" w14:paraId="00000029">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02.02.2007</w:t>
            </w:r>
          </w:p>
        </w:tc>
        <w:tc>
          <w:tcPr/>
          <w:p w:rsidR="00000000" w:rsidDel="00000000" w:rsidP="00000000" w:rsidRDefault="00000000" w:rsidRPr="00000000" w14:paraId="0000002A">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3.85 % shares of HEL pledged by ETHL to UTI for loan facility. The same has been released by UTI  upon repayment of loan. The released shares immediately thereafter transferred by ETHL to ETIL</w:t>
            </w:r>
          </w:p>
        </w:tc>
      </w:tr>
      <w:tr>
        <w:trPr>
          <w:cantSplit w:val="0"/>
          <w:trHeight w:val="285" w:hRule="atLeast"/>
          <w:tblHeader w:val="0"/>
        </w:trPr>
        <w:tc>
          <w:tcPr/>
          <w:p w:rsidR="00000000" w:rsidDel="00000000" w:rsidP="00000000" w:rsidRDefault="00000000" w:rsidRPr="00000000" w14:paraId="0000002B">
            <w:pPr>
              <w:spacing w:after="0" w:lineRule="auto"/>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2C">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Total</w:t>
            </w:r>
          </w:p>
        </w:tc>
        <w:tc>
          <w:tcPr/>
          <w:p w:rsidR="00000000" w:rsidDel="00000000" w:rsidP="00000000" w:rsidRDefault="00000000" w:rsidRPr="00000000" w14:paraId="0000002D">
            <w:pPr>
              <w:spacing w:after="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15.85%</w:t>
            </w:r>
          </w:p>
        </w:tc>
        <w:tc>
          <w:tcPr/>
          <w:p w:rsidR="00000000" w:rsidDel="00000000" w:rsidP="00000000" w:rsidRDefault="00000000" w:rsidRPr="00000000" w14:paraId="0000002E">
            <w:pPr>
              <w:spacing w:after="0" w:lineRule="auto"/>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2F">
            <w:pPr>
              <w:spacing w:after="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30">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7</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tab/>
        <w:t xml:space="preserve">Total consideration for share of 15.85% stood at INR 1677.7 Cr. Funds for this purpose were obtained by ECIL, Mauritius (ECML, in short) from SCB on strength of VEL shares. Thus, ETIL, India became owner of 15.85% by transaction amongst group entities, even without carrying out any worthwhile business. The acquisition cost  of INR 1677.7 Cr has been derived in the following manner:-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4"/>
          <w:szCs w:val="24"/>
          <w:highlight w:val="white"/>
          <w:u w:val="none"/>
          <w:vertAlign w:val="baseline"/>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4"/>
        <w:gridCol w:w="1921"/>
        <w:gridCol w:w="1756"/>
        <w:gridCol w:w="1560"/>
        <w:gridCol w:w="2835"/>
        <w:gridCol w:w="316"/>
        <w:tblGridChange w:id="0">
          <w:tblGrid>
            <w:gridCol w:w="854"/>
            <w:gridCol w:w="1921"/>
            <w:gridCol w:w="1756"/>
            <w:gridCol w:w="1560"/>
            <w:gridCol w:w="2835"/>
            <w:gridCol w:w="316"/>
          </w:tblGrid>
        </w:tblGridChange>
      </w:tblGrid>
      <w:tr>
        <w:trPr>
          <w:cantSplit w:val="0"/>
          <w:tblHeader w:val="0"/>
        </w:trPr>
        <w:tc>
          <w:tcPr>
            <w:gridSpan w:val="6"/>
          </w:tcPr>
          <w:p w:rsidR="00000000" w:rsidDel="00000000" w:rsidP="00000000" w:rsidRDefault="00000000" w:rsidRPr="00000000" w14:paraId="00000033">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Cost of 15.85% shares in the hands of ETIL, India = INR 1677,71,04,304</w:t>
            </w:r>
          </w:p>
          <w:p w:rsidR="00000000" w:rsidDel="00000000" w:rsidP="00000000" w:rsidRDefault="00000000" w:rsidRPr="00000000" w14:paraId="00000034">
            <w:pPr>
              <w:spacing w:after="0" w:line="24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S.No.</w:t>
            </w:r>
          </w:p>
        </w:tc>
        <w:tc>
          <w:tcPr/>
          <w:p w:rsidR="00000000" w:rsidDel="00000000" w:rsidP="00000000" w:rsidRDefault="00000000" w:rsidRPr="00000000" w14:paraId="0000003B">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Transferor</w:t>
            </w:r>
          </w:p>
        </w:tc>
        <w:tc>
          <w:tcPr/>
          <w:p w:rsidR="00000000" w:rsidDel="00000000" w:rsidP="00000000" w:rsidRDefault="00000000" w:rsidRPr="00000000" w14:paraId="0000003C">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of shares in VEL</w:t>
            </w:r>
          </w:p>
        </w:tc>
        <w:tc>
          <w:tcPr/>
          <w:p w:rsidR="00000000" w:rsidDel="00000000" w:rsidP="00000000" w:rsidRDefault="00000000" w:rsidRPr="00000000" w14:paraId="0000003D">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stake in VEL</w:t>
            </w:r>
          </w:p>
        </w:tc>
        <w:tc>
          <w:tcPr/>
          <w:p w:rsidR="00000000" w:rsidDel="00000000" w:rsidP="00000000" w:rsidRDefault="00000000" w:rsidRPr="00000000" w14:paraId="0000003E">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Acquisition cost (INR)</w:t>
            </w:r>
          </w:p>
        </w:tc>
        <w:tc>
          <w:tcPr/>
          <w:p w:rsidR="00000000" w:rsidDel="00000000" w:rsidP="00000000" w:rsidRDefault="00000000" w:rsidRPr="00000000" w14:paraId="0000003F">
            <w:pPr>
              <w:spacing w:after="0" w:line="24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p w:rsidR="00000000" w:rsidDel="00000000" w:rsidP="00000000" w:rsidRDefault="00000000" w:rsidRPr="00000000" w14:paraId="00000041">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ETHL, India</w:t>
            </w:r>
          </w:p>
        </w:tc>
        <w:tc>
          <w:tcPr/>
          <w:p w:rsidR="00000000" w:rsidDel="00000000" w:rsidP="00000000" w:rsidRDefault="00000000" w:rsidRPr="00000000" w14:paraId="00000042">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3,10,74,815</w:t>
            </w:r>
          </w:p>
        </w:tc>
        <w:tc>
          <w:tcPr>
            <w:vMerge w:val="restart"/>
          </w:tcPr>
          <w:p w:rsidR="00000000" w:rsidDel="00000000" w:rsidP="00000000" w:rsidRDefault="00000000" w:rsidRPr="00000000" w14:paraId="00000043">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r w:rsidDel="00000000" w:rsidR="00000000" w:rsidRPr="00000000">
              <w:pict>
                <v:shape id="Right Brace 1" style="position:absolute;margin-left:-3.1pt;margin-top:0.9pt;width:8.85pt;height:3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type="#_x0000_t88" adj="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"/>
              </w:pict>
            </w:r>
          </w:p>
          <w:p w:rsidR="00000000" w:rsidDel="00000000" w:rsidP="00000000" w:rsidRDefault="00000000" w:rsidRPr="00000000" w14:paraId="00000044">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5">
            <w:pPr>
              <w:spacing w:after="0" w:line="240" w:lineRule="auto"/>
              <w:jc w:val="righ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10.05%</w:t>
            </w:r>
          </w:p>
        </w:tc>
        <w:tc>
          <w:tcPr/>
          <w:p w:rsidR="00000000" w:rsidDel="00000000" w:rsidP="00000000" w:rsidRDefault="00000000" w:rsidRPr="00000000" w14:paraId="00000046">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770,62,43,327</w:t>
            </w:r>
          </w:p>
        </w:tc>
        <w:tc>
          <w:tcPr>
            <w:vMerge w:val="restart"/>
          </w:tcPr>
          <w:p w:rsidR="00000000" w:rsidDel="00000000" w:rsidP="00000000" w:rsidRDefault="00000000" w:rsidRPr="00000000" w14:paraId="00000047">
            <w:pPr>
              <w:spacing w:after="0" w:line="240" w:lineRule="auto"/>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c>
          <w:tcPr/>
          <w:p w:rsidR="00000000" w:rsidDel="00000000" w:rsidP="00000000" w:rsidRDefault="00000000" w:rsidRPr="00000000" w14:paraId="00000049">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ETHL. India</w:t>
            </w:r>
          </w:p>
        </w:tc>
        <w:tc>
          <w:tcPr/>
          <w:p w:rsidR="00000000" w:rsidDel="00000000" w:rsidP="00000000" w:rsidRDefault="00000000" w:rsidRPr="00000000" w14:paraId="0000004A">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1,05,67,170</w:t>
            </w:r>
          </w:p>
        </w:tc>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4C">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262,05,52,533</w:t>
            </w:r>
          </w:p>
        </w:tc>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c>
          <w:tcPr/>
          <w:p w:rsidR="00000000" w:rsidDel="00000000" w:rsidP="00000000" w:rsidRDefault="00000000" w:rsidRPr="00000000" w14:paraId="0000004F">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IDFC, India</w:t>
            </w:r>
          </w:p>
        </w:tc>
        <w:tc>
          <w:tcPr/>
          <w:p w:rsidR="00000000" w:rsidDel="00000000" w:rsidP="00000000" w:rsidRDefault="00000000" w:rsidRPr="00000000" w14:paraId="00000050">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80,64,841</w:t>
            </w:r>
          </w:p>
        </w:tc>
        <w:tc>
          <w:tcPr/>
          <w:p w:rsidR="00000000" w:rsidDel="00000000" w:rsidP="00000000" w:rsidRDefault="00000000" w:rsidRPr="00000000" w14:paraId="00000051">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1.95%</w:t>
            </w:r>
          </w:p>
        </w:tc>
        <w:tc>
          <w:tcPr/>
          <w:p w:rsidR="00000000" w:rsidDel="00000000" w:rsidP="00000000" w:rsidRDefault="00000000" w:rsidRPr="00000000" w14:paraId="00000052">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223,75,80,583</w:t>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w:t>
            </w:r>
          </w:p>
        </w:tc>
        <w:tc>
          <w:tcPr/>
          <w:p w:rsidR="00000000" w:rsidDel="00000000" w:rsidP="00000000" w:rsidRDefault="00000000" w:rsidRPr="00000000" w14:paraId="00000055">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UTI, India</w:t>
            </w:r>
          </w:p>
        </w:tc>
        <w:tc>
          <w:tcPr/>
          <w:p w:rsidR="00000000" w:rsidDel="00000000" w:rsidP="00000000" w:rsidRDefault="00000000" w:rsidRPr="00000000" w14:paraId="00000056">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1,59,28,061</w:t>
            </w:r>
          </w:p>
        </w:tc>
        <w:tc>
          <w:tcPr/>
          <w:p w:rsidR="00000000" w:rsidDel="00000000" w:rsidP="00000000" w:rsidRDefault="00000000" w:rsidRPr="00000000" w14:paraId="00000057">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3.85%</w:t>
            </w:r>
          </w:p>
        </w:tc>
        <w:tc>
          <w:tcPr/>
          <w:p w:rsidR="00000000" w:rsidDel="00000000" w:rsidP="00000000" w:rsidRDefault="00000000" w:rsidRPr="00000000" w14:paraId="00000058">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423,27,27,851</w:t>
            </w:r>
          </w:p>
        </w:tc>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0" w:line="240" w:lineRule="auto"/>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5B">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Total</w:t>
            </w:r>
          </w:p>
        </w:tc>
        <w:tc>
          <w:tcPr/>
          <w:p w:rsidR="00000000" w:rsidDel="00000000" w:rsidP="00000000" w:rsidRDefault="00000000" w:rsidRPr="00000000" w14:paraId="0000005C">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6,56,34,887</w:t>
            </w:r>
          </w:p>
        </w:tc>
        <w:tc>
          <w:tcPr/>
          <w:p w:rsidR="00000000" w:rsidDel="00000000" w:rsidP="00000000" w:rsidRDefault="00000000" w:rsidRPr="00000000" w14:paraId="0000005D">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15.85%</w:t>
            </w:r>
          </w:p>
        </w:tc>
        <w:tc>
          <w:tcPr/>
          <w:p w:rsidR="00000000" w:rsidDel="00000000" w:rsidP="00000000" w:rsidRDefault="00000000" w:rsidRPr="00000000" w14:paraId="0000005E">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1677,71,04,304</w:t>
            </w:r>
          </w:p>
        </w:tc>
        <w:tc>
          <w:tcPr/>
          <w:p w:rsidR="00000000" w:rsidDel="00000000" w:rsidP="00000000" w:rsidRDefault="00000000" w:rsidRPr="00000000" w14:paraId="0000005F">
            <w:pPr>
              <w:spacing w:after="0" w:line="240" w:lineRule="auto"/>
              <w:rPr>
                <w:rFonts w:ascii="Verdana" w:cs="Verdana" w:eastAsia="Verdana" w:hAnsi="Verdana"/>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60">
            <w:pPr>
              <w:spacing w:after="0" w:line="240" w:lineRule="auto"/>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66">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7">
      <w:pPr>
        <w:tabs>
          <w:tab w:val="left" w:leader="none" w:pos="-630"/>
        </w:tabs>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8">
      <w:pPr>
        <w:tabs>
          <w:tab w:val="left" w:leader="none" w:pos="-630"/>
        </w:tabs>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9">
      <w:pPr>
        <w:tabs>
          <w:tab w:val="left" w:leader="none" w:pos="-630"/>
        </w:tabs>
        <w:spacing w:after="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8</w:t>
      </w:r>
      <w:r w:rsidDel="00000000" w:rsidR="00000000" w:rsidRPr="00000000">
        <w:rPr>
          <w:rFonts w:ascii="Verdana" w:cs="Verdana" w:eastAsia="Verdana" w:hAnsi="Verdana"/>
          <w:sz w:val="24"/>
          <w:szCs w:val="24"/>
          <w:rtl w:val="0"/>
        </w:rPr>
        <w:t xml:space="preserve">.</w:t>
        <w:tab/>
        <w:t xml:space="preserve">Regarding source of funds for consolidating 15.85% shares in hands of ETIL, the Essar group companies used a novel arrangement without any commercial substance except for tax avoidance. ECML, Mauritius took a loan of USD 1.1 Bn on 31.01.2007 from a consortium led by SCB. Out of loan of 1.1 Bn USD, funds worth 400.61 Mn USD (INR 2077.7 Cr) were routed by ECML (the grandfather) to ECL, Mauritius (the father) and thereafter to ETIL (the target company). From ETIL, funds worth INR 1677.7 Cr were transferred to ETHL as a consideration for 15.85% shares of VEL. </w:t>
      </w:r>
    </w:p>
    <w:p w:rsidR="00000000" w:rsidDel="00000000" w:rsidP="00000000" w:rsidRDefault="00000000" w:rsidRPr="00000000" w14:paraId="0000006A">
      <w:pPr>
        <w:tabs>
          <w:tab w:val="left" w:leader="none" w:pos="-630"/>
        </w:tabs>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9</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tab/>
        <w:t xml:space="preserve">Voluntary liquidation of ETIL, India - Stipulations made in different agreements: Subsequent to consolidation of 15.85% shares of VEL in ETIL, India, the next step planned was to shift the situs of these shares to Mauritius so as to avail the benefit of capital gains exemption provided by the Mauritius treaty. This was sought to be done through voluntary liquidation of ETIL, India u/s 484 (1)(b) of the Indian Companies Act. </w:t>
      </w:r>
    </w:p>
    <w:p w:rsidR="00000000" w:rsidDel="00000000" w:rsidP="00000000" w:rsidRDefault="00000000" w:rsidRPr="00000000" w14:paraId="0000006C">
      <w:pPr>
        <w:tabs>
          <w:tab w:val="left" w:leader="none" w:pos="-630"/>
        </w:tabs>
        <w:spacing w:after="0"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D">
      <w:pPr>
        <w:tabs>
          <w:tab w:val="left" w:leader="none" w:pos="-630"/>
        </w:tabs>
        <w:spacing w:after="0" w:line="24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10</w:t>
      </w:r>
      <w:r w:rsidDel="00000000" w:rsidR="00000000" w:rsidRPr="00000000">
        <w:rPr>
          <w:rFonts w:ascii="Verdana" w:cs="Verdana" w:eastAsia="Verdana" w:hAnsi="Verdana"/>
          <w:sz w:val="24"/>
          <w:szCs w:val="24"/>
          <w:rtl w:val="0"/>
        </w:rPr>
        <w:t xml:space="preserve">.</w:t>
        <w:tab/>
        <w:t xml:space="preserve">ECL, Mauritius was the holding company of ETIL, India by now through various restructurings. As the holding company, ECL, Mauritius was entitled to receive the assets of the liquidating company. There was no commercial purpose to this shifting of situs except to save on the capital gains tax. However, it is being portrayed as if ECL, Mauritius has brought some new investment into India through acquisition of stake in VEL. This is not borne out by facts. </w:t>
      </w:r>
    </w:p>
    <w:p w:rsidR="00000000" w:rsidDel="00000000" w:rsidP="00000000" w:rsidRDefault="00000000" w:rsidRPr="00000000" w14:paraId="0000006E">
      <w:pPr>
        <w:tabs>
          <w:tab w:val="left" w:leader="none" w:pos="-630"/>
        </w:tabs>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F">
      <w:pPr>
        <w:tabs>
          <w:tab w:val="left" w:leader="none" w:pos="-630"/>
        </w:tabs>
        <w:spacing w:after="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11</w:t>
      </w:r>
      <w:r w:rsidDel="00000000" w:rsidR="00000000" w:rsidRPr="00000000">
        <w:rPr>
          <w:rFonts w:ascii="Verdana" w:cs="Verdana" w:eastAsia="Verdana" w:hAnsi="Verdana"/>
          <w:sz w:val="24"/>
          <w:szCs w:val="24"/>
          <w:rtl w:val="0"/>
        </w:rPr>
        <w:t xml:space="preserve">.  Intention to liquidate ETIL, India first appears in loan agreement for 1.1 Bn USD; Similar clauses are also in several other agreements (For eg. in loan agreement dated 29.06.2007 for 1.4 Bn USD by the Essar group; Clear stipulation for the aforesaid liquidation in another refinancing agreement for 3.59 Bn USD by the Essar group </w:t>
      </w:r>
    </w:p>
    <w:p w:rsidR="00000000" w:rsidDel="00000000" w:rsidP="00000000" w:rsidRDefault="00000000" w:rsidRPr="00000000" w14:paraId="00000070">
      <w:pPr>
        <w:spacing w:after="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1">
      <w:pPr>
        <w:spacing w:after="0" w:lineRule="auto"/>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12</w:t>
      </w:r>
      <w:r w:rsidDel="00000000" w:rsidR="00000000" w:rsidRPr="00000000">
        <w:rPr>
          <w:rFonts w:ascii="Verdana" w:cs="Verdana" w:eastAsia="Verdana" w:hAnsi="Verdana"/>
          <w:sz w:val="24"/>
          <w:szCs w:val="24"/>
          <w:rtl w:val="0"/>
        </w:rPr>
        <w:t xml:space="preserve">. Board of ETIL, India was totally unaware of the proposed voluntary liquidation, as it is passing resolutions for expanding business even while stipulations are being made in various agreements for its liquidation.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4"/>
          <w:szCs w:val="24"/>
          <w:highlight w:val="white"/>
          <w:u w:val="none"/>
          <w:vertAlign w:val="baseline"/>
        </w:rPr>
      </w:pPr>
      <w:r w:rsidDel="00000000" w:rsidR="00000000" w:rsidRPr="00000000">
        <w:rPr>
          <w:rFonts w:ascii="Verdana" w:cs="Verdana" w:eastAsia="Verdana" w:hAnsi="Verdana"/>
          <w:b w:val="1"/>
          <w:i w:val="0"/>
          <w:smallCaps w:val="0"/>
          <w:strike w:val="0"/>
          <w:color w:val="000000"/>
          <w:sz w:val="24"/>
          <w:szCs w:val="24"/>
          <w:highlight w:val="white"/>
          <w:u w:val="none"/>
          <w:vertAlign w:val="baseline"/>
          <w:rtl w:val="0"/>
        </w:rPr>
        <w:t xml:space="preserve">13.</w:t>
      </w:r>
      <w:r w:rsidDel="00000000" w:rsidR="00000000" w:rsidRPr="00000000">
        <w:rPr>
          <w:rFonts w:ascii="Verdana" w:cs="Verdana" w:eastAsia="Verdana" w:hAnsi="Verdana"/>
          <w:b w:val="0"/>
          <w:i w:val="0"/>
          <w:smallCaps w:val="0"/>
          <w:strike w:val="0"/>
          <w:color w:val="000000"/>
          <w:sz w:val="24"/>
          <w:szCs w:val="24"/>
          <w:highlight w:val="white"/>
          <w:u w:val="none"/>
          <w:vertAlign w:val="baseline"/>
          <w:rtl w:val="0"/>
        </w:rPr>
        <w:tab/>
        <w:t xml:space="preserve">Reference to Income-tax Department u/s 178 for voluantary liquidation of ETIL, India made to ascertain tax liability of ETIL and not of the company which receives assets on liquidation i.e ECL, Mauritius. Certificate issued by Income Tax Department on express request of ETIL,  India </w:t>
      </w:r>
      <w:r w:rsidDel="00000000" w:rsidR="00000000" w:rsidRPr="00000000">
        <w:rPr>
          <w:rFonts w:ascii="Verdana" w:cs="Verdana" w:eastAsia="Verdana" w:hAnsi="Verdana"/>
          <w:b w:val="0"/>
          <w:i w:val="1"/>
          <w:smallCaps w:val="0"/>
          <w:strike w:val="0"/>
          <w:color w:val="000000"/>
          <w:sz w:val="24"/>
          <w:szCs w:val="24"/>
          <w:highlight w:val="white"/>
          <w:u w:val="none"/>
          <w:vertAlign w:val="baseline"/>
          <w:rtl w:val="0"/>
        </w:rPr>
        <w:t xml:space="preserve">to distribute transfer 6,56,34,887 equity shares of Rs. 10/- each of Vodafone Essar Ltd other assets and cash &amp; bank balance to its shareholder i.e Essar Communication Limited, Mauritius upon liquidation of the Company. </w:t>
      </w:r>
      <w:r w:rsidDel="00000000" w:rsidR="00000000" w:rsidRPr="00000000">
        <w:rPr>
          <w:rFonts w:ascii="Verdana" w:cs="Verdana" w:eastAsia="Verdana" w:hAnsi="Verdana"/>
          <w:b w:val="0"/>
          <w:i w:val="0"/>
          <w:smallCaps w:val="0"/>
          <w:strike w:val="0"/>
          <w:color w:val="000000"/>
          <w:sz w:val="24"/>
          <w:szCs w:val="24"/>
          <w:highlight w:val="white"/>
          <w:u w:val="none"/>
          <w:vertAlign w:val="baseline"/>
          <w:rtl w:val="0"/>
        </w:rPr>
        <w:t xml:space="preserve">The certificate has been issued as the distribution of assets by a company is liquidation is not regarded as a transfer under the provisions of section 46(1) of the Income Tax Act. Thus ETIL, India was not liable for tax under provisions of section 46(1) of the Income-tax Act. However, section 46(2) of the IT Act provides that ECL, Mauritius is liable for capital gains tax on money or market value of assets received on distribution of assets by a company in liquidation.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4"/>
          <w:szCs w:val="24"/>
          <w:highlight w:val="white"/>
          <w:u w:val="none"/>
          <w:vertAlign w:val="baseline"/>
        </w:rPr>
      </w:pPr>
      <w:r w:rsidDel="00000000" w:rsidR="00000000" w:rsidRPr="00000000">
        <w:rPr>
          <w:rFonts w:ascii="Verdana" w:cs="Verdana" w:eastAsia="Verdana" w:hAnsi="Verdana"/>
          <w:b w:val="1"/>
          <w:i w:val="0"/>
          <w:smallCaps w:val="0"/>
          <w:strike w:val="0"/>
          <w:color w:val="000000"/>
          <w:sz w:val="24"/>
          <w:szCs w:val="24"/>
          <w:highlight w:val="white"/>
          <w:u w:val="none"/>
          <w:vertAlign w:val="baseline"/>
          <w:rtl w:val="0"/>
        </w:rPr>
        <w:t xml:space="preserve">14</w:t>
      </w:r>
      <w:r w:rsidDel="00000000" w:rsidR="00000000" w:rsidRPr="00000000">
        <w:rPr>
          <w:rFonts w:ascii="Verdana" w:cs="Verdana" w:eastAsia="Verdana" w:hAnsi="Verdana"/>
          <w:b w:val="0"/>
          <w:i w:val="0"/>
          <w:smallCaps w:val="0"/>
          <w:strike w:val="0"/>
          <w:color w:val="000000"/>
          <w:sz w:val="24"/>
          <w:szCs w:val="24"/>
          <w:highlight w:val="white"/>
          <w:u w:val="none"/>
          <w:vertAlign w:val="baseline"/>
          <w:rtl w:val="0"/>
        </w:rPr>
        <w:t xml:space="preserve">.</w:t>
        <w:tab/>
        <w:t xml:space="preserve">The provisions of section 46 of the IT Act are reproduced as under:-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4"/>
          <w:szCs w:val="24"/>
          <w:highlight w:val="white"/>
          <w:u w:val="none"/>
          <w:vertAlign w:val="baseline"/>
        </w:rPr>
      </w:pPr>
      <w:r w:rsidDel="00000000" w:rsidR="00000000" w:rsidRPr="00000000">
        <w:rPr>
          <w:rFonts w:ascii="Verdana" w:cs="Verdana" w:eastAsia="Verdana" w:hAnsi="Verdana"/>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77">
      <w:pPr>
        <w:spacing w:after="0" w:lineRule="auto"/>
        <w:ind w:left="720" w:firstLine="0"/>
        <w:jc w:val="both"/>
        <w:rPr>
          <w:rFonts w:ascii="Verdana" w:cs="Verdana" w:eastAsia="Verdana" w:hAnsi="Verdana"/>
          <w:i w:val="1"/>
          <w:sz w:val="24"/>
          <w:szCs w:val="24"/>
          <w:highlight w:val="white"/>
        </w:rPr>
      </w:pPr>
      <w:r w:rsidDel="00000000" w:rsidR="00000000" w:rsidRPr="00000000">
        <w:rPr>
          <w:rFonts w:ascii="Verdana" w:cs="Verdana" w:eastAsia="Verdana" w:hAnsi="Verdana"/>
          <w:i w:val="1"/>
          <w:sz w:val="24"/>
          <w:szCs w:val="24"/>
          <w:highlight w:val="white"/>
          <w:rtl w:val="0"/>
        </w:rPr>
        <w:t xml:space="preserve"> “Capital gains on distribution of assets by companies in liquidation.</w:t>
      </w:r>
    </w:p>
    <w:p w:rsidR="00000000" w:rsidDel="00000000" w:rsidP="00000000" w:rsidRDefault="00000000" w:rsidRPr="00000000" w14:paraId="00000078">
      <w:pPr>
        <w:spacing w:after="0" w:lineRule="auto"/>
        <w:ind w:left="720" w:firstLine="0"/>
        <w:jc w:val="both"/>
        <w:rPr>
          <w:rFonts w:ascii="Verdana" w:cs="Verdana" w:eastAsia="Verdana" w:hAnsi="Verdana"/>
          <w:i w:val="1"/>
          <w:sz w:val="24"/>
          <w:szCs w:val="24"/>
          <w:highlight w:val="white"/>
        </w:rPr>
      </w:pPr>
      <w:r w:rsidDel="00000000" w:rsidR="00000000" w:rsidRPr="00000000">
        <w:rPr>
          <w:rFonts w:ascii="Verdana" w:cs="Verdana" w:eastAsia="Verdana" w:hAnsi="Verdana"/>
          <w:i w:val="1"/>
          <w:sz w:val="24"/>
          <w:szCs w:val="24"/>
          <w:highlight w:val="white"/>
          <w:rtl w:val="0"/>
        </w:rPr>
        <w:t xml:space="preserve">46. (1) Notwithstanding anything contained in section 45, where the assets of a company are distributed to its shareholders on its liquidation, such distribution shall not be regarded as a transfer by the company for the purposes of section 45.</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Verdana" w:cs="Verdana" w:eastAsia="Verdana" w:hAnsi="Verdana"/>
          <w:b w:val="0"/>
          <w:i w:val="1"/>
          <w:smallCaps w:val="0"/>
          <w:strike w:val="0"/>
          <w:color w:val="000000"/>
          <w:sz w:val="24"/>
          <w:szCs w:val="24"/>
          <w:highlight w:val="white"/>
          <w:u w:val="none"/>
          <w:vertAlign w:val="baseline"/>
        </w:rPr>
      </w:pPr>
      <w:r w:rsidDel="00000000" w:rsidR="00000000" w:rsidRPr="00000000">
        <w:rPr>
          <w:rFonts w:ascii="Verdana" w:cs="Verdana" w:eastAsia="Verdana" w:hAnsi="Verdana"/>
          <w:b w:val="0"/>
          <w:i w:val="1"/>
          <w:smallCaps w:val="0"/>
          <w:strike w:val="0"/>
          <w:color w:val="000000"/>
          <w:sz w:val="24"/>
          <w:szCs w:val="24"/>
          <w:highlight w:val="white"/>
          <w:u w:val="none"/>
          <w:vertAlign w:val="baseline"/>
          <w:rtl w:val="0"/>
        </w:rPr>
        <w:t xml:space="preserve">(2) Where a shareholder on the liquidation of a company receives any money or other assets from the company, he shall be chargeable to income-tax under the head "Capital gains", in respect of the money so received or the market value of the other assets on the date of distribution, as reduced by the amount assessed as dividend within the meaning of sub-clause (c) of clause (22) of section 2 and the sum so arrived at shall be deemed to be the full value of the consideration for the purposes of section 48.”</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1980"/>
        </w:tabs>
        <w:spacing w:after="0" w:before="0" w:line="276" w:lineRule="auto"/>
        <w:ind w:left="720" w:right="0" w:firstLine="0"/>
        <w:jc w:val="both"/>
        <w:rPr>
          <w:rFonts w:ascii="Verdana" w:cs="Verdana" w:eastAsia="Verdana" w:hAnsi="Verdana"/>
          <w:b w:val="0"/>
          <w:i w:val="0"/>
          <w:smallCaps w:val="0"/>
          <w:strike w:val="0"/>
          <w:color w:val="ff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highlight w:val="white"/>
          <w:u w:val="none"/>
          <w:vertAlign w:val="baseline"/>
          <w:rtl w:val="0"/>
        </w:rPr>
        <w:t xml:space="preserve">15</w:t>
      </w:r>
      <w:r w:rsidDel="00000000" w:rsidR="00000000" w:rsidRPr="00000000">
        <w:rPr>
          <w:rFonts w:ascii="Verdana" w:cs="Verdana" w:eastAsia="Verdana" w:hAnsi="Verdana"/>
          <w:b w:val="0"/>
          <w:i w:val="0"/>
          <w:smallCaps w:val="0"/>
          <w:strike w:val="0"/>
          <w:color w:val="000000"/>
          <w:sz w:val="24"/>
          <w:szCs w:val="24"/>
          <w:highlight w:val="white"/>
          <w:u w:val="none"/>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ETIL, India was liquidated on 28.7.2008. At the time of liquidation, it was holding 6,56,34,887 [6.56 Crore] shares of VEL, India. This constituted 15.85% of the total share capital in VEL. The cost of these shares as per books of account of ETIL, India was INR 1677,71,04,304 [Rs. 1677.71 Crore]. On liquidation, ECL, Mauritius became the owner of 15.85% of shares of VEL at a cost of acquisition of INR 1677.7 Cr. </w:t>
      </w:r>
    </w:p>
    <w:p w:rsidR="00000000" w:rsidDel="00000000" w:rsidP="00000000" w:rsidRDefault="00000000" w:rsidRPr="00000000" w14:paraId="0000007D">
      <w:pPr>
        <w:spacing w:after="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Verdana" w:cs="Verdana" w:eastAsia="Verdana" w:hAnsi="Verdana"/>
          <w:b w:val="1"/>
          <w:i w:val="0"/>
          <w:smallCaps w:val="0"/>
          <w:strike w:val="0"/>
          <w:color w:val="000000"/>
          <w:sz w:val="22"/>
          <w:szCs w:val="22"/>
          <w:highlight w:val="white"/>
          <w:u w:val="none"/>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16</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highlight w:val="white"/>
          <w:u w:val="none"/>
          <w:vertAlign w:val="baseline"/>
          <w:rtl w:val="0"/>
        </w:rPr>
        <w:t xml:space="preserve">In conclusion, the situs of 15.85% shares has been shifted from onshore to offshore without any commercial substance except with a view to avoiding tax thereon. The entire activity relating to the acquisition of 6,56,34,887 shares by ECL, Mauritius is by way of Internal Restructuring which is without any commercial purpose and incontrovertibly a colorable device for avoidance of capital gains tax in India.</w:t>
      </w:r>
    </w:p>
    <w:p w:rsidR="00000000" w:rsidDel="00000000" w:rsidP="00000000" w:rsidRDefault="00000000" w:rsidRPr="00000000" w14:paraId="0000007F">
      <w:pPr>
        <w:jc w:val="center"/>
        <w:rPr>
          <w:rFonts w:ascii="Verdana" w:cs="Verdana" w:eastAsia="Verdana" w:hAnsi="Verdana"/>
          <w:b w:val="1"/>
        </w:rPr>
      </w:pPr>
      <w:r w:rsidDel="00000000" w:rsidR="00000000" w:rsidRPr="00000000">
        <w:rPr>
          <w:rFonts w:ascii="Verdana" w:cs="Verdana" w:eastAsia="Verdana" w:hAnsi="Verdana"/>
          <w:b w:val="1"/>
          <w:rtl w:val="0"/>
        </w:rPr>
        <w:t xml:space="preserve">******</w:t>
      </w:r>
    </w:p>
    <w:p w:rsidR="00000000" w:rsidDel="00000000" w:rsidP="00000000" w:rsidRDefault="00000000" w:rsidRPr="00000000" w14:paraId="00000080">
      <w:pPr>
        <w:spacing w:after="0" w:lineRule="auto"/>
        <w:rPr>
          <w:rFonts w:ascii="Verdana" w:cs="Verdana" w:eastAsia="Verdana" w:hAnsi="Verdana"/>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