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A84614" w14:textId="1F0D6E21" w:rsidR="00F43AD9" w:rsidRDefault="00F43AD9" w:rsidP="00D43E5F">
      <w:pPr>
        <w:spacing w:after="0" w:line="360" w:lineRule="auto"/>
        <w:rPr>
          <w:rFonts w:ascii="Verdana" w:hAnsi="Verdana"/>
          <w:sz w:val="24"/>
          <w:szCs w:val="24"/>
          <w:lang w:val="en-US"/>
        </w:rPr>
      </w:pPr>
      <w:r>
        <w:rPr>
          <w:rFonts w:ascii="Verdana" w:hAnsi="Verdana"/>
          <w:sz w:val="24"/>
          <w:szCs w:val="24"/>
          <w:lang w:val="en-US"/>
        </w:rPr>
        <w:t>Date: May 10</w:t>
      </w:r>
      <w:r w:rsidRPr="00F43AD9">
        <w:rPr>
          <w:rFonts w:ascii="Verdana" w:hAnsi="Verdana"/>
          <w:sz w:val="24"/>
          <w:szCs w:val="24"/>
          <w:vertAlign w:val="superscript"/>
          <w:lang w:val="en-US"/>
        </w:rPr>
        <w:t>th</w:t>
      </w:r>
      <w:r>
        <w:rPr>
          <w:rFonts w:ascii="Verdana" w:hAnsi="Verdana"/>
          <w:sz w:val="24"/>
          <w:szCs w:val="24"/>
          <w:lang w:val="en-US"/>
        </w:rPr>
        <w:t>, 2023</w:t>
      </w:r>
    </w:p>
    <w:p w14:paraId="6F1CDB00" w14:textId="77777777" w:rsidR="00F43AD9" w:rsidRDefault="00F43AD9" w:rsidP="00D43E5F">
      <w:pPr>
        <w:spacing w:after="0" w:line="360" w:lineRule="auto"/>
        <w:rPr>
          <w:rFonts w:ascii="Verdana" w:hAnsi="Verdana"/>
          <w:sz w:val="24"/>
          <w:szCs w:val="24"/>
          <w:lang w:val="en-US"/>
        </w:rPr>
      </w:pPr>
    </w:p>
    <w:p w14:paraId="4B19672D" w14:textId="27045733" w:rsidR="00F43AD9" w:rsidRDefault="00F43AD9" w:rsidP="00D43E5F">
      <w:pPr>
        <w:spacing w:after="0" w:line="360" w:lineRule="auto"/>
        <w:rPr>
          <w:rFonts w:ascii="Verdana" w:hAnsi="Verdana"/>
          <w:sz w:val="24"/>
          <w:szCs w:val="24"/>
          <w:lang w:val="en-US"/>
        </w:rPr>
      </w:pPr>
      <w:r>
        <w:rPr>
          <w:rFonts w:ascii="Verdana" w:hAnsi="Verdana"/>
          <w:sz w:val="24"/>
          <w:szCs w:val="24"/>
          <w:lang w:val="en-US"/>
        </w:rPr>
        <w:t>To,</w:t>
      </w:r>
    </w:p>
    <w:p w14:paraId="462E7F06" w14:textId="2A57F350" w:rsidR="00F43AD9" w:rsidRDefault="00F43AD9" w:rsidP="00D43E5F">
      <w:pPr>
        <w:spacing w:after="0" w:line="360" w:lineRule="auto"/>
        <w:rPr>
          <w:rFonts w:ascii="Verdana" w:hAnsi="Verdana"/>
          <w:sz w:val="24"/>
          <w:szCs w:val="24"/>
          <w:lang w:val="en-US"/>
        </w:rPr>
      </w:pPr>
      <w:r>
        <w:rPr>
          <w:rFonts w:ascii="Verdana" w:hAnsi="Verdana"/>
          <w:sz w:val="24"/>
          <w:szCs w:val="24"/>
          <w:lang w:val="en-US"/>
        </w:rPr>
        <w:t>Assessing Officer</w:t>
      </w:r>
    </w:p>
    <w:p w14:paraId="37DEEB1F" w14:textId="616EB428" w:rsidR="00F43AD9" w:rsidRDefault="00F43AD9" w:rsidP="00D43E5F">
      <w:pPr>
        <w:spacing w:after="0" w:line="360" w:lineRule="auto"/>
        <w:rPr>
          <w:rFonts w:ascii="Verdana" w:hAnsi="Verdana"/>
          <w:sz w:val="24"/>
          <w:szCs w:val="24"/>
          <w:lang w:val="en-US"/>
        </w:rPr>
      </w:pPr>
      <w:r>
        <w:rPr>
          <w:rFonts w:ascii="Verdana" w:hAnsi="Verdana"/>
          <w:sz w:val="24"/>
          <w:szCs w:val="24"/>
          <w:lang w:val="en-US"/>
        </w:rPr>
        <w:t>Assessment Unit</w:t>
      </w:r>
    </w:p>
    <w:p w14:paraId="1DA49623" w14:textId="7D97E7DE" w:rsidR="00F43AD9" w:rsidRDefault="00F43AD9" w:rsidP="00D43E5F">
      <w:pPr>
        <w:spacing w:after="0" w:line="360" w:lineRule="auto"/>
        <w:rPr>
          <w:rFonts w:ascii="Verdana" w:hAnsi="Verdana"/>
          <w:sz w:val="24"/>
          <w:szCs w:val="24"/>
          <w:lang w:val="en-US"/>
        </w:rPr>
      </w:pPr>
      <w:r>
        <w:rPr>
          <w:rFonts w:ascii="Verdana" w:hAnsi="Verdana"/>
          <w:sz w:val="24"/>
          <w:szCs w:val="24"/>
          <w:lang w:val="en-US"/>
        </w:rPr>
        <w:t>Income Tax Department</w:t>
      </w:r>
    </w:p>
    <w:p w14:paraId="64BF4192" w14:textId="77777777" w:rsidR="005E6FC1" w:rsidRDefault="005E6FC1" w:rsidP="00D43E5F">
      <w:pPr>
        <w:spacing w:after="0" w:line="360" w:lineRule="auto"/>
        <w:rPr>
          <w:rFonts w:ascii="Verdana" w:hAnsi="Verdana"/>
          <w:sz w:val="24"/>
          <w:szCs w:val="24"/>
          <w:lang w:val="en-US"/>
        </w:rPr>
      </w:pPr>
    </w:p>
    <w:p w14:paraId="6B1BFE12" w14:textId="303DC87D" w:rsidR="005E6FC1" w:rsidRDefault="005E6FC1" w:rsidP="00D43E5F">
      <w:pPr>
        <w:spacing w:after="0" w:line="360" w:lineRule="auto"/>
        <w:rPr>
          <w:rFonts w:ascii="Verdana" w:hAnsi="Verdana"/>
          <w:sz w:val="24"/>
          <w:szCs w:val="24"/>
          <w:lang w:val="en-US"/>
        </w:rPr>
      </w:pPr>
      <w:r>
        <w:rPr>
          <w:rFonts w:ascii="Verdana" w:hAnsi="Verdana"/>
          <w:sz w:val="24"/>
          <w:szCs w:val="24"/>
          <w:lang w:val="en-US"/>
        </w:rPr>
        <w:tab/>
        <w:t>Sub.: Rly to Show Cause Notice dated 05.05.2023</w:t>
      </w:r>
    </w:p>
    <w:p w14:paraId="5756BA45" w14:textId="04C0037E" w:rsidR="005E6FC1" w:rsidRDefault="005E6FC1" w:rsidP="00D43E5F">
      <w:pPr>
        <w:spacing w:after="0" w:line="360" w:lineRule="auto"/>
        <w:rPr>
          <w:rFonts w:ascii="Verdana" w:hAnsi="Verdana"/>
          <w:sz w:val="24"/>
          <w:szCs w:val="24"/>
          <w:lang w:val="en-US"/>
        </w:rPr>
      </w:pPr>
      <w:r>
        <w:rPr>
          <w:rFonts w:ascii="Verdana" w:hAnsi="Verdana"/>
          <w:sz w:val="24"/>
          <w:szCs w:val="24"/>
          <w:lang w:val="en-US"/>
        </w:rPr>
        <w:tab/>
        <w:t xml:space="preserve">PAN: </w:t>
      </w:r>
      <w:r w:rsidR="007E2FE0">
        <w:rPr>
          <w:rFonts w:ascii="Verdana" w:hAnsi="Verdana"/>
          <w:sz w:val="24"/>
          <w:szCs w:val="24"/>
          <w:lang w:val="en-US"/>
        </w:rPr>
        <w:t>AAHPM3667J</w:t>
      </w:r>
    </w:p>
    <w:p w14:paraId="2F7C727D" w14:textId="46BA1AE3" w:rsidR="005E6FC1" w:rsidRDefault="005E6FC1" w:rsidP="00D43E5F">
      <w:pPr>
        <w:spacing w:after="0" w:line="360" w:lineRule="auto"/>
        <w:rPr>
          <w:rFonts w:ascii="Verdana" w:hAnsi="Verdana"/>
          <w:sz w:val="24"/>
          <w:szCs w:val="24"/>
          <w:lang w:val="en-US"/>
        </w:rPr>
      </w:pPr>
      <w:r>
        <w:rPr>
          <w:rFonts w:ascii="Verdana" w:hAnsi="Verdana"/>
          <w:sz w:val="24"/>
          <w:szCs w:val="24"/>
          <w:lang w:val="en-US"/>
        </w:rPr>
        <w:tab/>
        <w:t>Assessee: Pravinchandra Amritlal Mehta</w:t>
      </w:r>
      <w:r w:rsidR="00CF1F78">
        <w:rPr>
          <w:rFonts w:ascii="Verdana" w:hAnsi="Verdana"/>
          <w:sz w:val="24"/>
          <w:szCs w:val="24"/>
          <w:lang w:val="en-US"/>
        </w:rPr>
        <w:t xml:space="preserve"> </w:t>
      </w:r>
    </w:p>
    <w:p w14:paraId="368E54C5" w14:textId="5EC980A1" w:rsidR="005E6FC1" w:rsidRDefault="005E6FC1" w:rsidP="00D43E5F">
      <w:pPr>
        <w:spacing w:after="0" w:line="360" w:lineRule="auto"/>
        <w:rPr>
          <w:rFonts w:ascii="Verdana" w:hAnsi="Verdana"/>
          <w:sz w:val="24"/>
          <w:szCs w:val="24"/>
          <w:lang w:val="en-US"/>
        </w:rPr>
      </w:pPr>
      <w:r>
        <w:rPr>
          <w:rFonts w:ascii="Verdana" w:hAnsi="Verdana"/>
          <w:sz w:val="24"/>
          <w:szCs w:val="24"/>
          <w:lang w:val="en-US"/>
        </w:rPr>
        <w:tab/>
        <w:t>DIN Ref.: ITBA</w:t>
      </w:r>
      <w:r w:rsidR="00EE7A87">
        <w:rPr>
          <w:rFonts w:ascii="Verdana" w:hAnsi="Verdana"/>
          <w:sz w:val="24"/>
          <w:szCs w:val="24"/>
          <w:lang w:val="en-US"/>
        </w:rPr>
        <w:t>/AST/F/147(SCN)/2023-24/1052615838(1)</w:t>
      </w:r>
    </w:p>
    <w:p w14:paraId="6F1C460C" w14:textId="77777777" w:rsidR="005E6FC1" w:rsidRDefault="005E6FC1" w:rsidP="00D43E5F">
      <w:pPr>
        <w:spacing w:after="0" w:line="360" w:lineRule="auto"/>
        <w:rPr>
          <w:rFonts w:ascii="Verdana" w:hAnsi="Verdana"/>
          <w:sz w:val="24"/>
          <w:szCs w:val="24"/>
          <w:lang w:val="en-US"/>
        </w:rPr>
      </w:pPr>
    </w:p>
    <w:p w14:paraId="611114A0" w14:textId="16522958" w:rsidR="007E2FE0" w:rsidRDefault="007E2FE0" w:rsidP="00D43E5F">
      <w:pPr>
        <w:spacing w:after="0" w:line="360" w:lineRule="auto"/>
        <w:rPr>
          <w:rFonts w:ascii="Verdana" w:hAnsi="Verdana"/>
          <w:sz w:val="24"/>
          <w:szCs w:val="24"/>
          <w:lang w:val="en-US"/>
        </w:rPr>
      </w:pPr>
      <w:r>
        <w:rPr>
          <w:rFonts w:ascii="Verdana" w:hAnsi="Verdana"/>
          <w:sz w:val="24"/>
          <w:szCs w:val="24"/>
          <w:lang w:val="en-US"/>
        </w:rPr>
        <w:t>Respected Sir/Madam,</w:t>
      </w:r>
    </w:p>
    <w:p w14:paraId="0D725562" w14:textId="38252DC8" w:rsidR="007B2F9A" w:rsidRDefault="007E2FE0" w:rsidP="00D61DE2">
      <w:pPr>
        <w:spacing w:after="0" w:line="360" w:lineRule="auto"/>
        <w:jc w:val="both"/>
        <w:rPr>
          <w:rFonts w:ascii="Verdana" w:hAnsi="Verdana"/>
          <w:sz w:val="24"/>
          <w:szCs w:val="24"/>
          <w:lang w:val="en-US"/>
        </w:rPr>
      </w:pPr>
      <w:r>
        <w:rPr>
          <w:rFonts w:ascii="Verdana" w:hAnsi="Verdana"/>
          <w:sz w:val="24"/>
          <w:szCs w:val="24"/>
          <w:lang w:val="en-US"/>
        </w:rPr>
        <w:tab/>
        <w:t>We are in receipt of your notice as me</w:t>
      </w:r>
      <w:r w:rsidRPr="00C33B59">
        <w:rPr>
          <w:rFonts w:ascii="Verdana" w:hAnsi="Verdana"/>
          <w:sz w:val="24"/>
          <w:szCs w:val="24"/>
          <w:lang w:val="en-US"/>
        </w:rPr>
        <w:t xml:space="preserve">ntioned above dated </w:t>
      </w:r>
      <w:r w:rsidR="00BE45DB" w:rsidRPr="00C33B59">
        <w:rPr>
          <w:rFonts w:ascii="Verdana" w:hAnsi="Verdana"/>
          <w:sz w:val="24"/>
          <w:szCs w:val="24"/>
          <w:lang w:val="en-US"/>
        </w:rPr>
        <w:t>05.05.2023</w:t>
      </w:r>
      <w:r w:rsidR="00FF3206">
        <w:rPr>
          <w:rFonts w:ascii="Verdana" w:hAnsi="Verdana"/>
          <w:sz w:val="24"/>
          <w:szCs w:val="24"/>
          <w:lang w:val="en-US"/>
        </w:rPr>
        <w:t>,</w:t>
      </w:r>
    </w:p>
    <w:p w14:paraId="6E970091" w14:textId="75BCF6AD" w:rsidR="00083F0B" w:rsidRDefault="00083F0B" w:rsidP="00D61DE2">
      <w:pPr>
        <w:spacing w:after="0" w:line="360" w:lineRule="auto"/>
        <w:jc w:val="both"/>
        <w:rPr>
          <w:rFonts w:ascii="Verdana" w:hAnsi="Verdana"/>
          <w:sz w:val="24"/>
          <w:szCs w:val="24"/>
          <w:lang w:val="en-US"/>
        </w:rPr>
      </w:pPr>
      <w:proofErr w:type="gramStart"/>
      <w:r>
        <w:rPr>
          <w:rFonts w:ascii="Verdana" w:hAnsi="Verdana"/>
          <w:sz w:val="24"/>
          <w:szCs w:val="24"/>
          <w:lang w:val="en-US"/>
        </w:rPr>
        <w:t>Firstly</w:t>
      </w:r>
      <w:proofErr w:type="gramEnd"/>
      <w:r>
        <w:rPr>
          <w:rFonts w:ascii="Verdana" w:hAnsi="Verdana"/>
          <w:sz w:val="24"/>
          <w:szCs w:val="24"/>
          <w:lang w:val="en-US"/>
        </w:rPr>
        <w:t xml:space="preserve"> we would like to state that Shri Pravinchandra Amritlal Mehta (Assessee) died on February 17</w:t>
      </w:r>
      <w:r w:rsidRPr="00083F0B">
        <w:rPr>
          <w:rFonts w:ascii="Verdana" w:hAnsi="Verdana"/>
          <w:sz w:val="24"/>
          <w:szCs w:val="24"/>
          <w:vertAlign w:val="superscript"/>
          <w:lang w:val="en-US"/>
        </w:rPr>
        <w:t>th</w:t>
      </w:r>
      <w:r>
        <w:rPr>
          <w:rFonts w:ascii="Verdana" w:hAnsi="Verdana"/>
          <w:sz w:val="24"/>
          <w:szCs w:val="24"/>
          <w:lang w:val="en-US"/>
        </w:rPr>
        <w:t>, 2023</w:t>
      </w:r>
      <w:r w:rsidR="004128EE">
        <w:rPr>
          <w:rFonts w:ascii="Verdana" w:hAnsi="Verdana"/>
          <w:sz w:val="24"/>
          <w:szCs w:val="24"/>
          <w:lang w:val="en-US"/>
        </w:rPr>
        <w:t xml:space="preserve"> and now his</w:t>
      </w:r>
      <w:r w:rsidR="002A657A">
        <w:rPr>
          <w:rFonts w:ascii="Verdana" w:hAnsi="Verdana"/>
          <w:sz w:val="24"/>
          <w:szCs w:val="24"/>
          <w:lang w:val="en-US"/>
        </w:rPr>
        <w:t xml:space="preserve"> son</w:t>
      </w:r>
      <w:r w:rsidR="004128EE">
        <w:rPr>
          <w:rFonts w:ascii="Verdana" w:hAnsi="Verdana"/>
          <w:sz w:val="24"/>
          <w:szCs w:val="24"/>
          <w:lang w:val="en-US"/>
        </w:rPr>
        <w:t xml:space="preserve"> Shri Nilesh Pravinchandra Mehta having PAN </w:t>
      </w:r>
      <w:r w:rsidR="002A657A">
        <w:rPr>
          <w:rFonts w:ascii="Verdana" w:hAnsi="Verdana"/>
          <w:sz w:val="24"/>
          <w:szCs w:val="24"/>
          <w:lang w:val="en-US"/>
        </w:rPr>
        <w:t>AADPM7003L</w:t>
      </w:r>
      <w:r w:rsidR="0049235A">
        <w:rPr>
          <w:rFonts w:ascii="Verdana" w:hAnsi="Verdana"/>
          <w:sz w:val="24"/>
          <w:szCs w:val="24"/>
          <w:lang w:val="en-US"/>
        </w:rPr>
        <w:t xml:space="preserve"> is the legal heir of Late Shri Pravinchandra Amritlal Mehta.</w:t>
      </w:r>
      <w:r w:rsidR="006E1866">
        <w:rPr>
          <w:rFonts w:ascii="Verdana" w:hAnsi="Verdana"/>
          <w:sz w:val="24"/>
          <w:szCs w:val="24"/>
          <w:lang w:val="en-US"/>
        </w:rPr>
        <w:t xml:space="preserve"> </w:t>
      </w:r>
      <w:r w:rsidR="00342A2D">
        <w:rPr>
          <w:rFonts w:ascii="Verdana" w:hAnsi="Verdana"/>
          <w:sz w:val="24"/>
          <w:szCs w:val="24"/>
          <w:lang w:val="en-US"/>
        </w:rPr>
        <w:t>Copy of the death certificate is attached for your records.</w:t>
      </w:r>
    </w:p>
    <w:p w14:paraId="2E8C104D" w14:textId="15A5CBDE" w:rsidR="00405012" w:rsidRPr="00AD1AB3" w:rsidRDefault="0073596B" w:rsidP="00D61DE2">
      <w:pPr>
        <w:spacing w:after="0" w:line="360" w:lineRule="auto"/>
        <w:jc w:val="both"/>
        <w:rPr>
          <w:rFonts w:ascii="Verdana" w:hAnsi="Verdana"/>
          <w:sz w:val="24"/>
          <w:szCs w:val="24"/>
          <w:lang w:val="en-US"/>
        </w:rPr>
      </w:pPr>
      <w:r w:rsidRPr="00AD1AB3">
        <w:rPr>
          <w:rFonts w:ascii="Verdana" w:hAnsi="Verdana"/>
          <w:sz w:val="24"/>
          <w:szCs w:val="24"/>
          <w:lang w:val="en-US"/>
        </w:rPr>
        <w:t>It is to humbly submit that your show cause notice proposing two additions of Rs.</w:t>
      </w:r>
      <w:r w:rsidR="00FF3206">
        <w:rPr>
          <w:rFonts w:ascii="Verdana" w:hAnsi="Verdana"/>
          <w:sz w:val="24"/>
          <w:szCs w:val="24"/>
          <w:lang w:val="en-US"/>
        </w:rPr>
        <w:t>2,02,400/</w:t>
      </w:r>
      <w:r w:rsidR="00C019DD">
        <w:rPr>
          <w:rFonts w:ascii="Verdana" w:hAnsi="Verdana"/>
          <w:sz w:val="24"/>
          <w:szCs w:val="24"/>
          <w:lang w:val="en-US"/>
        </w:rPr>
        <w:t>-</w:t>
      </w:r>
      <w:r w:rsidRPr="00AD1AB3">
        <w:rPr>
          <w:rFonts w:ascii="Verdana" w:hAnsi="Verdana"/>
          <w:sz w:val="24"/>
          <w:szCs w:val="24"/>
          <w:lang w:val="en-US"/>
        </w:rPr>
        <w:t xml:space="preserve"> and Rs. 50,00,000/- to </w:t>
      </w:r>
      <w:r w:rsidR="00C22C7A">
        <w:rPr>
          <w:rFonts w:ascii="Verdana" w:hAnsi="Verdana"/>
          <w:sz w:val="24"/>
          <w:szCs w:val="24"/>
          <w:lang w:val="en-US"/>
        </w:rPr>
        <w:t>assessee’s</w:t>
      </w:r>
      <w:r w:rsidRPr="00AD1AB3">
        <w:rPr>
          <w:rFonts w:ascii="Verdana" w:hAnsi="Verdana"/>
          <w:sz w:val="24"/>
          <w:szCs w:val="24"/>
          <w:lang w:val="en-US"/>
        </w:rPr>
        <w:t xml:space="preserve"> total income is bad-in-law, illegal as assumption of jurisdiction under section 147 with the issue of notice under section 148 itself is bad-in-law, illegal and contrary to the provisions of the Income-tax Act, 1961 (hereinafter referred to as “the Act”) and without jurisdiction.</w:t>
      </w:r>
    </w:p>
    <w:p w14:paraId="7D7E6ABA" w14:textId="55A43BD5" w:rsidR="00D61DE2" w:rsidRPr="004816AE" w:rsidRDefault="00623A37" w:rsidP="00D61DE2">
      <w:pPr>
        <w:pStyle w:val="ListParagraph"/>
        <w:numPr>
          <w:ilvl w:val="0"/>
          <w:numId w:val="3"/>
        </w:numPr>
        <w:spacing w:after="0" w:line="360" w:lineRule="auto"/>
        <w:jc w:val="both"/>
        <w:rPr>
          <w:rFonts w:ascii="Verdana" w:hAnsi="Verdana"/>
          <w:b/>
          <w:bCs/>
          <w:color w:val="FF0000"/>
          <w:sz w:val="24"/>
          <w:szCs w:val="24"/>
          <w:u w:val="single"/>
          <w:lang w:val="en-US"/>
        </w:rPr>
      </w:pPr>
      <w:r w:rsidRPr="004816AE">
        <w:rPr>
          <w:rFonts w:ascii="Verdana" w:hAnsi="Verdana"/>
          <w:b/>
          <w:bCs/>
          <w:color w:val="FF0000"/>
          <w:sz w:val="24"/>
          <w:szCs w:val="24"/>
          <w:u w:val="single"/>
          <w:lang w:val="en-US"/>
        </w:rPr>
        <w:t>Jurisdiction under section 148 is bad in law</w:t>
      </w:r>
    </w:p>
    <w:p w14:paraId="0124EDE2" w14:textId="0C5902A1" w:rsidR="00E30A1B" w:rsidRPr="00AD1AB3" w:rsidRDefault="0073596B" w:rsidP="00D61DE2">
      <w:pPr>
        <w:spacing w:after="0" w:line="360" w:lineRule="auto"/>
        <w:jc w:val="both"/>
        <w:rPr>
          <w:rFonts w:ascii="Verdana" w:hAnsi="Verdana"/>
          <w:sz w:val="24"/>
          <w:szCs w:val="24"/>
          <w:lang w:val="en-US"/>
        </w:rPr>
      </w:pPr>
      <w:r w:rsidRPr="00AD1AB3">
        <w:rPr>
          <w:rFonts w:ascii="Verdana" w:hAnsi="Verdana"/>
          <w:sz w:val="24"/>
          <w:szCs w:val="24"/>
          <w:lang w:val="en-US"/>
        </w:rPr>
        <w:t xml:space="preserve">In this regard, we would wish to draw your kind reference to the circumstances stated in your show </w:t>
      </w:r>
      <w:r w:rsidR="003E2BD4" w:rsidRPr="00AD1AB3">
        <w:rPr>
          <w:rFonts w:ascii="Verdana" w:hAnsi="Verdana"/>
          <w:sz w:val="24"/>
          <w:szCs w:val="24"/>
          <w:lang w:val="en-US"/>
        </w:rPr>
        <w:t>cause</w:t>
      </w:r>
      <w:r w:rsidRPr="00AD1AB3">
        <w:rPr>
          <w:rFonts w:ascii="Verdana" w:hAnsi="Verdana"/>
          <w:sz w:val="24"/>
          <w:szCs w:val="24"/>
          <w:lang w:val="en-US"/>
        </w:rPr>
        <w:t xml:space="preserve"> notice under reference wherein following </w:t>
      </w:r>
      <w:r w:rsidR="003E2BD4" w:rsidRPr="00AD1AB3">
        <w:rPr>
          <w:rFonts w:ascii="Verdana" w:hAnsi="Verdana"/>
          <w:sz w:val="24"/>
          <w:szCs w:val="24"/>
          <w:lang w:val="en-US"/>
        </w:rPr>
        <w:t>facts are noted against item</w:t>
      </w:r>
      <w:r w:rsidR="00281A56">
        <w:rPr>
          <w:rFonts w:ascii="Verdana" w:hAnsi="Verdana"/>
          <w:sz w:val="24"/>
          <w:szCs w:val="24"/>
          <w:lang w:val="en-US"/>
        </w:rPr>
        <w:t xml:space="preserve"> </w:t>
      </w:r>
      <w:r w:rsidR="003E2BD4" w:rsidRPr="00AD1AB3">
        <w:rPr>
          <w:rFonts w:ascii="Verdana" w:hAnsi="Verdana"/>
          <w:sz w:val="24"/>
          <w:szCs w:val="24"/>
          <w:lang w:val="en-US"/>
        </w:rPr>
        <w:t>(2) at Page (8) of your notice:</w:t>
      </w:r>
    </w:p>
    <w:p w14:paraId="0124EDE3" w14:textId="4DC67F34" w:rsidR="00CC6903" w:rsidRPr="00BF050E" w:rsidRDefault="003E2BD4" w:rsidP="00D43E5F">
      <w:pPr>
        <w:autoSpaceDE w:val="0"/>
        <w:autoSpaceDN w:val="0"/>
        <w:adjustRightInd w:val="0"/>
        <w:spacing w:after="0" w:line="360" w:lineRule="auto"/>
        <w:rPr>
          <w:rFonts w:ascii="Verdana" w:hAnsi="Verdana" w:cs="ArialMT"/>
          <w:i/>
          <w:sz w:val="24"/>
          <w:szCs w:val="24"/>
        </w:rPr>
      </w:pPr>
      <w:r w:rsidRPr="00BF050E">
        <w:rPr>
          <w:rFonts w:ascii="Verdana" w:hAnsi="Verdana"/>
          <w:i/>
          <w:sz w:val="24"/>
          <w:szCs w:val="24"/>
          <w:lang w:val="en-US"/>
        </w:rPr>
        <w:t>“</w:t>
      </w:r>
      <w:r w:rsidR="00CC6903" w:rsidRPr="00BF050E">
        <w:rPr>
          <w:rFonts w:ascii="Verdana" w:hAnsi="Verdana" w:cs="ArialMT"/>
          <w:i/>
          <w:sz w:val="24"/>
          <w:szCs w:val="24"/>
        </w:rPr>
        <w:t xml:space="preserve">2. </w:t>
      </w:r>
      <w:r w:rsidR="00CC6903" w:rsidRPr="00BF050E">
        <w:rPr>
          <w:rFonts w:ascii="Verdana" w:hAnsi="Verdana" w:cs="Arial-BoldMT"/>
          <w:b/>
          <w:bCs/>
          <w:i/>
          <w:sz w:val="24"/>
          <w:szCs w:val="24"/>
        </w:rPr>
        <w:t>Loan Advances to Sri Nilesh Bharani - Rs.50</w:t>
      </w:r>
      <w:r w:rsidR="001216C1" w:rsidRPr="00BF050E">
        <w:rPr>
          <w:rFonts w:ascii="Verdana" w:hAnsi="Verdana" w:cs="Arial-BoldMT"/>
          <w:b/>
          <w:bCs/>
          <w:i/>
          <w:sz w:val="24"/>
          <w:szCs w:val="24"/>
        </w:rPr>
        <w:t>,00,000</w:t>
      </w:r>
      <w:r w:rsidR="00CC6903" w:rsidRPr="00BF050E">
        <w:rPr>
          <w:rFonts w:ascii="Verdana" w:hAnsi="Verdana" w:cs="Arial-BoldMT"/>
          <w:b/>
          <w:bCs/>
          <w:i/>
          <w:sz w:val="24"/>
          <w:szCs w:val="24"/>
        </w:rPr>
        <w:t xml:space="preserve"> </w:t>
      </w:r>
      <w:r w:rsidR="00CC6903" w:rsidRPr="00BF050E">
        <w:rPr>
          <w:rFonts w:ascii="Verdana" w:hAnsi="Verdana" w:cs="ArialMT"/>
          <w:i/>
          <w:sz w:val="24"/>
          <w:szCs w:val="24"/>
        </w:rPr>
        <w:t>-</w:t>
      </w:r>
    </w:p>
    <w:p w14:paraId="0124EDE4" w14:textId="77777777" w:rsidR="00CC6903" w:rsidRPr="00BF050E" w:rsidRDefault="00CC6903" w:rsidP="00D43E5F">
      <w:pPr>
        <w:autoSpaceDE w:val="0"/>
        <w:autoSpaceDN w:val="0"/>
        <w:adjustRightInd w:val="0"/>
        <w:spacing w:after="0" w:line="360" w:lineRule="auto"/>
        <w:rPr>
          <w:rFonts w:ascii="Verdana" w:hAnsi="Verdana" w:cs="ArialMT"/>
          <w:i/>
          <w:sz w:val="24"/>
          <w:szCs w:val="24"/>
        </w:rPr>
      </w:pPr>
      <w:r w:rsidRPr="00BF050E">
        <w:rPr>
          <w:rFonts w:ascii="Verdana" w:hAnsi="Verdana" w:cs="ArialMT"/>
          <w:i/>
          <w:sz w:val="24"/>
          <w:szCs w:val="24"/>
        </w:rPr>
        <w:t>Apart from the above proposed variation, information received from Joint</w:t>
      </w:r>
    </w:p>
    <w:p w14:paraId="0124EDE6" w14:textId="25516DB0" w:rsidR="003E2BD4" w:rsidRPr="00BF050E" w:rsidRDefault="00CC6903" w:rsidP="007F1CAF">
      <w:pPr>
        <w:autoSpaceDE w:val="0"/>
        <w:autoSpaceDN w:val="0"/>
        <w:adjustRightInd w:val="0"/>
        <w:spacing w:after="0" w:line="360" w:lineRule="auto"/>
        <w:jc w:val="both"/>
        <w:rPr>
          <w:rFonts w:ascii="Verdana" w:hAnsi="Verdana" w:cs="ArialMT"/>
          <w:i/>
          <w:sz w:val="24"/>
          <w:szCs w:val="24"/>
        </w:rPr>
      </w:pPr>
      <w:r w:rsidRPr="00BF050E">
        <w:rPr>
          <w:rFonts w:ascii="Verdana" w:hAnsi="Verdana" w:cs="ArialMT"/>
          <w:i/>
          <w:sz w:val="24"/>
          <w:szCs w:val="24"/>
        </w:rPr>
        <w:lastRenderedPageBreak/>
        <w:t>Commissioner of Income tax (OSD</w:t>
      </w:r>
      <w:proofErr w:type="gramStart"/>
      <w:r w:rsidRPr="00BF050E">
        <w:rPr>
          <w:rFonts w:ascii="Verdana" w:hAnsi="Verdana" w:cs="ArialMT"/>
          <w:i/>
          <w:sz w:val="24"/>
          <w:szCs w:val="24"/>
        </w:rPr>
        <w:t>)(</w:t>
      </w:r>
      <w:proofErr w:type="gramEnd"/>
      <w:r w:rsidRPr="00BF050E">
        <w:rPr>
          <w:rFonts w:ascii="Verdana" w:hAnsi="Verdana" w:cs="ArialMT"/>
          <w:i/>
          <w:sz w:val="24"/>
          <w:szCs w:val="24"/>
        </w:rPr>
        <w:t>Central Circle)-4(1), Mumbai communicating that a Search and Survey action was conducted u/s.132 of the I.T. Act, in the case of M/Evergreen Enterprises (PAN :: AADFE 8617 J) which consequently revealed that you have advanced Cash Loans to one Mr Nilesh Bharani. It has been communicated by the JCIT that on the basis of documents found and seized at the premises of M/s Evergreen Enterprises and statements recorded on oath u/s.132(4) of the IT Act,</w:t>
      </w:r>
      <w:r w:rsidR="00BF050E">
        <w:rPr>
          <w:rFonts w:ascii="Verdana" w:hAnsi="Verdana" w:cs="ArialMT"/>
          <w:i/>
          <w:sz w:val="24"/>
          <w:szCs w:val="24"/>
        </w:rPr>
        <w:t xml:space="preserve"> </w:t>
      </w:r>
      <w:r w:rsidRPr="00BF050E">
        <w:rPr>
          <w:rFonts w:ascii="Verdana" w:hAnsi="Verdana" w:cs="ArialMT"/>
          <w:i/>
          <w:sz w:val="24"/>
          <w:szCs w:val="24"/>
        </w:rPr>
        <w:t xml:space="preserve">1961 from Shri Nilesh Bharani, one of the </w:t>
      </w:r>
      <w:proofErr w:type="gramStart"/>
      <w:r w:rsidRPr="00BF050E">
        <w:rPr>
          <w:rFonts w:ascii="Verdana" w:hAnsi="Verdana" w:cs="ArialMT"/>
          <w:i/>
          <w:sz w:val="24"/>
          <w:szCs w:val="24"/>
        </w:rPr>
        <w:t>partner</w:t>
      </w:r>
      <w:proofErr w:type="gramEnd"/>
      <w:r w:rsidRPr="00BF050E">
        <w:rPr>
          <w:rFonts w:ascii="Verdana" w:hAnsi="Verdana" w:cs="ArialMT"/>
          <w:i/>
          <w:sz w:val="24"/>
          <w:szCs w:val="24"/>
        </w:rPr>
        <w:t xml:space="preserve"> of M/s. Evergreen Enterprises and its employees namely Shri Jagdish Ramani, Ashwin Rathod, Vibha Sachin Rawate and Shankar Jadhav, it is established that Shri Nilesh Bharani has received cash loan from several individual and business concerns. The information downloaded from the Insight Portal shows that you have advanced cash loan to Shri Nilesh Bharani to the extent of Rs.50,00,000/</w:t>
      </w:r>
      <w:proofErr w:type="gramStart"/>
      <w:r w:rsidRPr="00BF050E">
        <w:rPr>
          <w:rFonts w:ascii="Verdana" w:hAnsi="Verdana" w:cs="ArialMT"/>
          <w:i/>
          <w:sz w:val="24"/>
          <w:szCs w:val="24"/>
        </w:rPr>
        <w:t>-.It</w:t>
      </w:r>
      <w:proofErr w:type="gramEnd"/>
      <w:r w:rsidRPr="00BF050E">
        <w:rPr>
          <w:rFonts w:ascii="Verdana" w:hAnsi="Verdana" w:cs="ArialMT"/>
          <w:i/>
          <w:sz w:val="24"/>
          <w:szCs w:val="24"/>
        </w:rPr>
        <w:t xml:space="preserve"> is observed that your name is reflected in the cash loan ledger / documents of the lenders - maintained by Shri Nilesh Bharani. Hence, it is very much clear from the information received that you have advanced monies to Sri Nilesh Bharani to the extent of Rs.50</w:t>
      </w:r>
      <w:r w:rsidR="001216C1" w:rsidRPr="00BF050E">
        <w:rPr>
          <w:rFonts w:ascii="Verdana" w:hAnsi="Verdana" w:cs="ArialMT"/>
          <w:i/>
          <w:sz w:val="24"/>
          <w:szCs w:val="24"/>
        </w:rPr>
        <w:t>,00,000</w:t>
      </w:r>
      <w:r w:rsidRPr="00BF050E">
        <w:rPr>
          <w:rFonts w:ascii="Verdana" w:hAnsi="Verdana" w:cs="ArialMT"/>
          <w:i/>
          <w:sz w:val="24"/>
          <w:szCs w:val="24"/>
        </w:rPr>
        <w:t>/-.”</w:t>
      </w:r>
    </w:p>
    <w:p w14:paraId="0124EDE7" w14:textId="472FA26B" w:rsidR="001216C1" w:rsidRPr="00603484" w:rsidRDefault="00C96C1F" w:rsidP="00D43E5F">
      <w:pPr>
        <w:autoSpaceDE w:val="0"/>
        <w:autoSpaceDN w:val="0"/>
        <w:adjustRightInd w:val="0"/>
        <w:spacing w:after="0" w:line="360" w:lineRule="auto"/>
        <w:rPr>
          <w:rFonts w:ascii="Verdana" w:hAnsi="Verdana" w:cs="ArialMT"/>
          <w:b/>
          <w:bCs/>
          <w:sz w:val="24"/>
          <w:szCs w:val="24"/>
        </w:rPr>
      </w:pPr>
      <w:r>
        <w:rPr>
          <w:rFonts w:ascii="Verdana" w:hAnsi="Verdana" w:cs="ArialMT"/>
          <w:b/>
          <w:bCs/>
          <w:sz w:val="24"/>
          <w:szCs w:val="24"/>
        </w:rPr>
        <w:t xml:space="preserve">A. </w:t>
      </w:r>
      <w:r w:rsidR="001216C1" w:rsidRPr="00603484">
        <w:rPr>
          <w:rFonts w:ascii="Verdana" w:hAnsi="Verdana" w:cs="ArialMT"/>
          <w:b/>
          <w:bCs/>
          <w:sz w:val="24"/>
          <w:szCs w:val="24"/>
        </w:rPr>
        <w:t>From the contents of your notice, it is evident that:</w:t>
      </w:r>
    </w:p>
    <w:p w14:paraId="0124EDE8" w14:textId="77777777" w:rsidR="001216C1" w:rsidRPr="00AD1AB3" w:rsidRDefault="001216C1" w:rsidP="00603484">
      <w:pPr>
        <w:pStyle w:val="ListParagraph"/>
        <w:numPr>
          <w:ilvl w:val="0"/>
          <w:numId w:val="1"/>
        </w:numPr>
        <w:autoSpaceDE w:val="0"/>
        <w:autoSpaceDN w:val="0"/>
        <w:adjustRightInd w:val="0"/>
        <w:spacing w:after="0" w:line="360" w:lineRule="auto"/>
        <w:jc w:val="both"/>
        <w:rPr>
          <w:rFonts w:ascii="Verdana" w:hAnsi="Verdana"/>
          <w:sz w:val="24"/>
          <w:szCs w:val="24"/>
          <w:lang w:val="en-US"/>
        </w:rPr>
      </w:pPr>
      <w:r w:rsidRPr="00AD1AB3">
        <w:rPr>
          <w:rFonts w:ascii="Verdana" w:hAnsi="Verdana"/>
          <w:sz w:val="24"/>
          <w:szCs w:val="24"/>
          <w:lang w:val="en-US"/>
        </w:rPr>
        <w:t>There was a search conducted at the premises of M/s Evergreen Enterprises;</w:t>
      </w:r>
    </w:p>
    <w:p w14:paraId="0124EDE9" w14:textId="77777777" w:rsidR="001216C1" w:rsidRPr="00AD1AB3" w:rsidRDefault="001216C1" w:rsidP="00603484">
      <w:pPr>
        <w:pStyle w:val="ListParagraph"/>
        <w:numPr>
          <w:ilvl w:val="0"/>
          <w:numId w:val="1"/>
        </w:numPr>
        <w:autoSpaceDE w:val="0"/>
        <w:autoSpaceDN w:val="0"/>
        <w:adjustRightInd w:val="0"/>
        <w:spacing w:after="0" w:line="360" w:lineRule="auto"/>
        <w:jc w:val="both"/>
        <w:rPr>
          <w:rFonts w:ascii="Verdana" w:hAnsi="Verdana"/>
          <w:sz w:val="24"/>
          <w:szCs w:val="24"/>
          <w:lang w:val="en-US"/>
        </w:rPr>
      </w:pPr>
      <w:r w:rsidRPr="00AD1AB3">
        <w:rPr>
          <w:rFonts w:ascii="Verdana" w:hAnsi="Verdana"/>
          <w:sz w:val="24"/>
          <w:szCs w:val="24"/>
          <w:lang w:val="en-US"/>
        </w:rPr>
        <w:t>Statement of Shri Nilesh Bharani was recorded under section 132 (4) of the Act;</w:t>
      </w:r>
    </w:p>
    <w:p w14:paraId="0124EDEA" w14:textId="77777777" w:rsidR="001216C1" w:rsidRPr="00AD1AB3" w:rsidRDefault="001216C1" w:rsidP="00603484">
      <w:pPr>
        <w:pStyle w:val="ListParagraph"/>
        <w:numPr>
          <w:ilvl w:val="0"/>
          <w:numId w:val="1"/>
        </w:numPr>
        <w:autoSpaceDE w:val="0"/>
        <w:autoSpaceDN w:val="0"/>
        <w:adjustRightInd w:val="0"/>
        <w:spacing w:after="0" w:line="360" w:lineRule="auto"/>
        <w:jc w:val="both"/>
        <w:rPr>
          <w:rFonts w:ascii="Verdana" w:hAnsi="Verdana"/>
          <w:sz w:val="24"/>
          <w:szCs w:val="24"/>
          <w:lang w:val="en-US"/>
        </w:rPr>
      </w:pPr>
      <w:r w:rsidRPr="00AD1AB3">
        <w:rPr>
          <w:rFonts w:ascii="Verdana" w:hAnsi="Verdana"/>
          <w:sz w:val="24"/>
          <w:szCs w:val="24"/>
          <w:lang w:val="en-US"/>
        </w:rPr>
        <w:t>Books of accounts and documents were found and seized in the course of said search;</w:t>
      </w:r>
    </w:p>
    <w:p w14:paraId="0124EDEB" w14:textId="77777777" w:rsidR="001216C1" w:rsidRPr="00AD1AB3" w:rsidRDefault="001216C1" w:rsidP="00603484">
      <w:pPr>
        <w:pStyle w:val="ListParagraph"/>
        <w:numPr>
          <w:ilvl w:val="0"/>
          <w:numId w:val="1"/>
        </w:numPr>
        <w:autoSpaceDE w:val="0"/>
        <w:autoSpaceDN w:val="0"/>
        <w:adjustRightInd w:val="0"/>
        <w:spacing w:after="0" w:line="360" w:lineRule="auto"/>
        <w:jc w:val="both"/>
        <w:rPr>
          <w:rFonts w:ascii="Verdana" w:hAnsi="Verdana"/>
          <w:sz w:val="24"/>
          <w:szCs w:val="24"/>
          <w:lang w:val="en-US"/>
        </w:rPr>
      </w:pPr>
      <w:r w:rsidRPr="00AD1AB3">
        <w:rPr>
          <w:rFonts w:ascii="Verdana" w:hAnsi="Verdana"/>
          <w:sz w:val="24"/>
          <w:szCs w:val="24"/>
          <w:lang w:val="en-US"/>
        </w:rPr>
        <w:t>Statements of employees of M/s Evergreen Enterprises were recorded under section 132 (4) of the Act;</w:t>
      </w:r>
    </w:p>
    <w:p w14:paraId="0124EDEC" w14:textId="3D05730B" w:rsidR="001216C1" w:rsidRPr="00AD1AB3" w:rsidRDefault="00B34E07" w:rsidP="00603484">
      <w:pPr>
        <w:pStyle w:val="ListParagraph"/>
        <w:numPr>
          <w:ilvl w:val="0"/>
          <w:numId w:val="1"/>
        </w:numPr>
        <w:autoSpaceDE w:val="0"/>
        <w:autoSpaceDN w:val="0"/>
        <w:adjustRightInd w:val="0"/>
        <w:spacing w:after="0" w:line="360" w:lineRule="auto"/>
        <w:jc w:val="both"/>
        <w:rPr>
          <w:rFonts w:ascii="Verdana" w:hAnsi="Verdana"/>
          <w:sz w:val="24"/>
          <w:szCs w:val="24"/>
          <w:lang w:val="en-US"/>
        </w:rPr>
      </w:pPr>
      <w:r>
        <w:rPr>
          <w:rFonts w:ascii="Verdana" w:hAnsi="Verdana"/>
          <w:sz w:val="24"/>
          <w:szCs w:val="24"/>
          <w:lang w:val="en-US"/>
        </w:rPr>
        <w:t>Assessee’s</w:t>
      </w:r>
      <w:r w:rsidR="001216C1" w:rsidRPr="00AD1AB3">
        <w:rPr>
          <w:rFonts w:ascii="Verdana" w:hAnsi="Verdana"/>
          <w:sz w:val="24"/>
          <w:szCs w:val="24"/>
          <w:lang w:val="en-US"/>
        </w:rPr>
        <w:t xml:space="preserve"> name is found reflected in the cash loan ledger/ documents of the lenders maintained by Shri Nilesh Bharani’</w:t>
      </w:r>
    </w:p>
    <w:p w14:paraId="0124EDED" w14:textId="2B61E168" w:rsidR="001216C1" w:rsidRDefault="001216C1" w:rsidP="00603484">
      <w:pPr>
        <w:pStyle w:val="ListParagraph"/>
        <w:numPr>
          <w:ilvl w:val="0"/>
          <w:numId w:val="1"/>
        </w:numPr>
        <w:autoSpaceDE w:val="0"/>
        <w:autoSpaceDN w:val="0"/>
        <w:adjustRightInd w:val="0"/>
        <w:spacing w:after="0" w:line="360" w:lineRule="auto"/>
        <w:jc w:val="both"/>
        <w:rPr>
          <w:rFonts w:ascii="Verdana" w:hAnsi="Verdana"/>
          <w:sz w:val="24"/>
          <w:szCs w:val="24"/>
          <w:lang w:val="en-US"/>
        </w:rPr>
      </w:pPr>
      <w:r w:rsidRPr="00AD1AB3">
        <w:rPr>
          <w:rFonts w:ascii="Verdana" w:hAnsi="Verdana"/>
          <w:sz w:val="24"/>
          <w:szCs w:val="24"/>
          <w:lang w:val="en-US"/>
        </w:rPr>
        <w:t>From these documents it is found that it is very much clear from the information received that</w:t>
      </w:r>
      <w:r w:rsidR="003B1CE6">
        <w:rPr>
          <w:rFonts w:ascii="Verdana" w:hAnsi="Verdana"/>
          <w:sz w:val="24"/>
          <w:szCs w:val="24"/>
          <w:lang w:val="en-US"/>
        </w:rPr>
        <w:t xml:space="preserve"> Assessee has</w:t>
      </w:r>
      <w:r w:rsidRPr="00AD1AB3">
        <w:rPr>
          <w:rFonts w:ascii="Verdana" w:hAnsi="Verdana"/>
          <w:sz w:val="24"/>
          <w:szCs w:val="24"/>
          <w:lang w:val="en-US"/>
        </w:rPr>
        <w:t xml:space="preserve"> advanced monies to Shri Nilesh Bharani to the extent of Rs. 50,00,000/-</w:t>
      </w:r>
    </w:p>
    <w:p w14:paraId="5CAD9B2B" w14:textId="77777777" w:rsidR="003B1CE6" w:rsidRPr="00AD1AB3" w:rsidRDefault="003B1CE6" w:rsidP="003B1CE6">
      <w:pPr>
        <w:pStyle w:val="ListParagraph"/>
        <w:autoSpaceDE w:val="0"/>
        <w:autoSpaceDN w:val="0"/>
        <w:adjustRightInd w:val="0"/>
        <w:spacing w:after="0" w:line="360" w:lineRule="auto"/>
        <w:jc w:val="both"/>
        <w:rPr>
          <w:rFonts w:ascii="Verdana" w:hAnsi="Verdana"/>
          <w:sz w:val="24"/>
          <w:szCs w:val="24"/>
          <w:lang w:val="en-US"/>
        </w:rPr>
      </w:pPr>
    </w:p>
    <w:p w14:paraId="0124EDEE" w14:textId="6901AD37" w:rsidR="001216C1" w:rsidRPr="00AD1AB3" w:rsidRDefault="001216C1" w:rsidP="007F1EDC">
      <w:pPr>
        <w:autoSpaceDE w:val="0"/>
        <w:autoSpaceDN w:val="0"/>
        <w:adjustRightInd w:val="0"/>
        <w:spacing w:after="0" w:line="360" w:lineRule="auto"/>
        <w:jc w:val="both"/>
        <w:rPr>
          <w:rFonts w:ascii="Verdana" w:hAnsi="Verdana"/>
          <w:sz w:val="24"/>
          <w:szCs w:val="24"/>
          <w:lang w:val="en-US"/>
        </w:rPr>
      </w:pPr>
      <w:r w:rsidRPr="00AD1AB3">
        <w:rPr>
          <w:rFonts w:ascii="Verdana" w:hAnsi="Verdana"/>
          <w:sz w:val="24"/>
          <w:szCs w:val="24"/>
          <w:lang w:val="en-US"/>
        </w:rPr>
        <w:t>Without prejudice to my submission that I never advanced any cash sum to</w:t>
      </w:r>
      <w:r w:rsidR="003B1CE6">
        <w:rPr>
          <w:rFonts w:ascii="Verdana" w:hAnsi="Verdana"/>
          <w:sz w:val="24"/>
          <w:szCs w:val="24"/>
          <w:lang w:val="en-US"/>
        </w:rPr>
        <w:t xml:space="preserve"> </w:t>
      </w:r>
      <w:r w:rsidR="00B53DF8" w:rsidRPr="00AD1AB3">
        <w:rPr>
          <w:rFonts w:ascii="Verdana" w:hAnsi="Verdana"/>
          <w:sz w:val="24"/>
          <w:szCs w:val="24"/>
          <w:lang w:val="en-US"/>
        </w:rPr>
        <w:t>Shri</w:t>
      </w:r>
      <w:r w:rsidRPr="00AD1AB3">
        <w:rPr>
          <w:rFonts w:ascii="Verdana" w:hAnsi="Verdana"/>
          <w:sz w:val="24"/>
          <w:szCs w:val="24"/>
          <w:lang w:val="en-US"/>
        </w:rPr>
        <w:t xml:space="preserve"> Nilesh Bharani as alleged to have been found in the documents and books of accounts found and seized from the premises of M/s Evergreen Enterprises in the course of search under section 132 of the Act</w:t>
      </w:r>
      <w:r w:rsidR="00B53DF8" w:rsidRPr="00AD1AB3">
        <w:rPr>
          <w:rFonts w:ascii="Verdana" w:hAnsi="Verdana"/>
          <w:sz w:val="24"/>
          <w:szCs w:val="24"/>
          <w:lang w:val="en-US"/>
        </w:rPr>
        <w:t>, it is to submit that from the contents of your notice, it is clear that assumption of jurisdiction under section 147 with the issue of notice under section 148 of the Act, is bad-in-law, illegal and</w:t>
      </w:r>
      <w:r w:rsidR="007F1EDC">
        <w:rPr>
          <w:rFonts w:ascii="Verdana" w:hAnsi="Verdana"/>
          <w:sz w:val="24"/>
          <w:szCs w:val="24"/>
          <w:lang w:val="en-US"/>
        </w:rPr>
        <w:t xml:space="preserve"> </w:t>
      </w:r>
      <w:r w:rsidR="00B53DF8" w:rsidRPr="00AD1AB3">
        <w:rPr>
          <w:rFonts w:ascii="Verdana" w:hAnsi="Verdana"/>
          <w:sz w:val="24"/>
          <w:szCs w:val="24"/>
          <w:lang w:val="en-US"/>
        </w:rPr>
        <w:t>deserves to be revoked.</w:t>
      </w:r>
    </w:p>
    <w:p w14:paraId="0124EDEF" w14:textId="7920954F" w:rsidR="00B53DF8" w:rsidRPr="00AD1AB3" w:rsidRDefault="00B53DF8" w:rsidP="007F1EDC">
      <w:pPr>
        <w:autoSpaceDE w:val="0"/>
        <w:autoSpaceDN w:val="0"/>
        <w:adjustRightInd w:val="0"/>
        <w:spacing w:after="0" w:line="360" w:lineRule="auto"/>
        <w:jc w:val="both"/>
        <w:rPr>
          <w:rFonts w:ascii="Verdana" w:hAnsi="Verdana"/>
          <w:sz w:val="24"/>
          <w:szCs w:val="24"/>
          <w:lang w:val="en-US"/>
        </w:rPr>
      </w:pPr>
      <w:r w:rsidRPr="00AD1AB3">
        <w:rPr>
          <w:rFonts w:ascii="Verdana" w:hAnsi="Verdana"/>
          <w:sz w:val="24"/>
          <w:szCs w:val="24"/>
          <w:lang w:val="en-US"/>
        </w:rPr>
        <w:t xml:space="preserve">In this regard, </w:t>
      </w:r>
      <w:r w:rsidR="007F1EDC">
        <w:rPr>
          <w:rFonts w:ascii="Verdana" w:hAnsi="Verdana"/>
          <w:sz w:val="24"/>
          <w:szCs w:val="24"/>
          <w:lang w:val="en-US"/>
        </w:rPr>
        <w:t>we</w:t>
      </w:r>
      <w:r w:rsidRPr="00AD1AB3">
        <w:rPr>
          <w:rFonts w:ascii="Verdana" w:hAnsi="Verdana"/>
          <w:sz w:val="24"/>
          <w:szCs w:val="24"/>
          <w:lang w:val="en-US"/>
        </w:rPr>
        <w:t xml:space="preserve"> would wish to draw your kind attention to the provisions of section 153 C of the Act which is reproduced for the sake of ready reference as under:</w:t>
      </w:r>
    </w:p>
    <w:p w14:paraId="0124EDF1" w14:textId="77777777" w:rsidR="003803CE" w:rsidRPr="00AD1AB3" w:rsidRDefault="00AD1AB3" w:rsidP="00D43E5F">
      <w:pPr>
        <w:pStyle w:val="NormalWeb"/>
        <w:shd w:val="clear" w:color="auto" w:fill="FFFFFF"/>
        <w:spacing w:before="0" w:beforeAutospacing="0" w:after="0" w:afterAutospacing="0" w:line="360" w:lineRule="auto"/>
        <w:jc w:val="both"/>
        <w:rPr>
          <w:rFonts w:ascii="Verdana" w:hAnsi="Verdana"/>
          <w:i/>
          <w:color w:val="444444"/>
        </w:rPr>
      </w:pPr>
      <w:r>
        <w:rPr>
          <w:rFonts w:ascii="Verdana" w:hAnsi="Verdana"/>
          <w:b/>
          <w:bCs/>
          <w:color w:val="444444"/>
        </w:rPr>
        <w:t>“</w:t>
      </w:r>
      <w:r w:rsidRPr="00AD1AB3">
        <w:rPr>
          <w:rFonts w:ascii="Verdana" w:hAnsi="Verdana"/>
          <w:b/>
          <w:bCs/>
          <w:i/>
          <w:color w:val="444444"/>
        </w:rPr>
        <w:t>A</w:t>
      </w:r>
      <w:r w:rsidR="003803CE" w:rsidRPr="00AD1AB3">
        <w:rPr>
          <w:rFonts w:ascii="Verdana" w:hAnsi="Verdana"/>
          <w:b/>
          <w:bCs/>
          <w:i/>
          <w:color w:val="444444"/>
        </w:rPr>
        <w:t>ssessment of income of any other person.</w:t>
      </w:r>
    </w:p>
    <w:p w14:paraId="0124EDF2" w14:textId="77777777" w:rsidR="003803CE" w:rsidRPr="00AD1AB3" w:rsidRDefault="003803CE" w:rsidP="00D43E5F">
      <w:pPr>
        <w:pStyle w:val="NormalWeb"/>
        <w:shd w:val="clear" w:color="auto" w:fill="FFFFFF"/>
        <w:spacing w:before="0" w:beforeAutospacing="0" w:after="0" w:afterAutospacing="0" w:line="360" w:lineRule="auto"/>
        <w:jc w:val="both"/>
        <w:rPr>
          <w:rFonts w:ascii="Verdana" w:hAnsi="Verdana"/>
          <w:i/>
          <w:color w:val="444444"/>
        </w:rPr>
      </w:pPr>
      <w:r w:rsidRPr="00AD1AB3">
        <w:rPr>
          <w:rFonts w:ascii="Verdana" w:hAnsi="Verdana"/>
          <w:b/>
          <w:bCs/>
          <w:i/>
          <w:color w:val="444444"/>
        </w:rPr>
        <w:t>153C.</w:t>
      </w:r>
      <w:r w:rsidRPr="00AD1AB3">
        <w:rPr>
          <w:rFonts w:ascii="Verdana" w:hAnsi="Verdana"/>
          <w:i/>
          <w:color w:val="444444"/>
        </w:rPr>
        <w:t xml:space="preserve"> (1) </w:t>
      </w:r>
      <w:r w:rsidRPr="00243C53">
        <w:rPr>
          <w:rFonts w:ascii="Verdana" w:hAnsi="Verdana"/>
          <w:b/>
          <w:bCs/>
          <w:i/>
          <w:color w:val="444444"/>
        </w:rPr>
        <w:t>Notwithstanding anything contained</w:t>
      </w:r>
      <w:r w:rsidRPr="00AD1AB3">
        <w:rPr>
          <w:rFonts w:ascii="Verdana" w:hAnsi="Verdana"/>
          <w:i/>
          <w:color w:val="444444"/>
        </w:rPr>
        <w:t xml:space="preserve"> in section 139, </w:t>
      </w:r>
      <w:r w:rsidRPr="00243C53">
        <w:rPr>
          <w:rFonts w:ascii="Verdana" w:hAnsi="Verdana"/>
          <w:b/>
          <w:bCs/>
          <w:i/>
          <w:color w:val="444444"/>
        </w:rPr>
        <w:t>section 147, section 148,</w:t>
      </w:r>
      <w:r w:rsidRPr="00AD1AB3">
        <w:rPr>
          <w:rFonts w:ascii="Verdana" w:hAnsi="Verdana"/>
          <w:i/>
          <w:color w:val="444444"/>
        </w:rPr>
        <w:t xml:space="preserve"> section 149, section 151 and section 153, where the Assessing Officer is satisfied </w:t>
      </w:r>
      <w:proofErr w:type="gramStart"/>
      <w:r w:rsidRPr="00AD1AB3">
        <w:rPr>
          <w:rFonts w:ascii="Verdana" w:hAnsi="Verdana"/>
          <w:i/>
          <w:color w:val="444444"/>
        </w:rPr>
        <w:t>that,—</w:t>
      </w:r>
      <w:proofErr w:type="gramEnd"/>
    </w:p>
    <w:p w14:paraId="0124EDF3" w14:textId="77777777" w:rsidR="003803CE" w:rsidRPr="00AD1AB3" w:rsidRDefault="003803CE" w:rsidP="00D43E5F">
      <w:pPr>
        <w:pStyle w:val="NormalWeb"/>
        <w:shd w:val="clear" w:color="auto" w:fill="FFFFFF"/>
        <w:spacing w:before="0" w:beforeAutospacing="0" w:after="0" w:afterAutospacing="0" w:line="360" w:lineRule="auto"/>
        <w:ind w:left="567"/>
        <w:jc w:val="both"/>
        <w:rPr>
          <w:rFonts w:ascii="Verdana" w:hAnsi="Verdana"/>
          <w:i/>
          <w:color w:val="444444"/>
        </w:rPr>
      </w:pPr>
      <w:r w:rsidRPr="00AD1AB3">
        <w:rPr>
          <w:rFonts w:ascii="Verdana" w:hAnsi="Verdana"/>
          <w:i/>
          <w:color w:val="444444"/>
        </w:rPr>
        <w:t> (</w:t>
      </w:r>
      <w:r w:rsidRPr="00AD1AB3">
        <w:rPr>
          <w:rFonts w:ascii="Verdana" w:hAnsi="Verdana"/>
          <w:i/>
          <w:iCs/>
          <w:color w:val="444444"/>
        </w:rPr>
        <w:t>a</w:t>
      </w:r>
      <w:r w:rsidRPr="00AD1AB3">
        <w:rPr>
          <w:rFonts w:ascii="Verdana" w:hAnsi="Verdana"/>
          <w:i/>
          <w:color w:val="444444"/>
        </w:rPr>
        <w:t>) any money, bullion, jewellery or other valuable article or thing, seized or requisitioned, belongs to; or</w:t>
      </w:r>
    </w:p>
    <w:p w14:paraId="0124EDF4" w14:textId="77777777" w:rsidR="003803CE" w:rsidRPr="00243C53" w:rsidRDefault="003803CE" w:rsidP="00D43E5F">
      <w:pPr>
        <w:pStyle w:val="NormalWeb"/>
        <w:shd w:val="clear" w:color="auto" w:fill="FFFFFF"/>
        <w:spacing w:before="0" w:beforeAutospacing="0" w:after="0" w:afterAutospacing="0" w:line="360" w:lineRule="auto"/>
        <w:ind w:left="567"/>
        <w:jc w:val="both"/>
        <w:rPr>
          <w:rFonts w:ascii="Verdana" w:hAnsi="Verdana"/>
          <w:b/>
          <w:bCs/>
          <w:i/>
          <w:color w:val="444444"/>
        </w:rPr>
      </w:pPr>
      <w:r w:rsidRPr="00AD1AB3">
        <w:rPr>
          <w:rFonts w:ascii="Verdana" w:hAnsi="Verdana"/>
          <w:i/>
          <w:color w:val="444444"/>
        </w:rPr>
        <w:t> (</w:t>
      </w:r>
      <w:r w:rsidRPr="00AD1AB3">
        <w:rPr>
          <w:rFonts w:ascii="Verdana" w:hAnsi="Verdana"/>
          <w:i/>
          <w:iCs/>
          <w:color w:val="444444"/>
        </w:rPr>
        <w:t>b</w:t>
      </w:r>
      <w:r w:rsidRPr="00AD1AB3">
        <w:rPr>
          <w:rFonts w:ascii="Verdana" w:hAnsi="Verdana"/>
          <w:i/>
          <w:color w:val="444444"/>
        </w:rPr>
        <w:t xml:space="preserve">) any books of account or documents, seized or requisitioned, </w:t>
      </w:r>
      <w:r w:rsidRPr="00243C53">
        <w:rPr>
          <w:rFonts w:ascii="Verdana" w:hAnsi="Verdana"/>
          <w:b/>
          <w:bCs/>
          <w:i/>
          <w:color w:val="444444"/>
        </w:rPr>
        <w:t>pertains or pertain to, or any information contained therein, relates to,</w:t>
      </w:r>
    </w:p>
    <w:p w14:paraId="0124EDF5" w14:textId="77777777" w:rsidR="003803CE" w:rsidRPr="00AD1AB3" w:rsidRDefault="003803CE" w:rsidP="00D43E5F">
      <w:pPr>
        <w:pStyle w:val="NormalWeb"/>
        <w:shd w:val="clear" w:color="auto" w:fill="FFFFFF"/>
        <w:spacing w:before="0" w:beforeAutospacing="0" w:after="0" w:afterAutospacing="0" w:line="360" w:lineRule="auto"/>
        <w:jc w:val="both"/>
        <w:rPr>
          <w:rFonts w:ascii="Verdana" w:hAnsi="Verdana"/>
          <w:i/>
          <w:color w:val="444444"/>
        </w:rPr>
      </w:pPr>
      <w:r w:rsidRPr="00243C53">
        <w:rPr>
          <w:rFonts w:ascii="Verdana" w:hAnsi="Verdana"/>
          <w:b/>
          <w:bCs/>
          <w:i/>
          <w:color w:val="444444"/>
        </w:rPr>
        <w:t>a person other than the person referred to in section 153A, then, the books of account or documents or assets, seized or requisitioned shall be handed over to the Assessing Officer having jurisdiction over such other person and that Assessing Officer shall proceed against each such other person and issue notice and assess or reassess the income of the other person in accordance with the provisions of section 153A, if, that Assessing Officer is satisfied that the books of account or documents or assets seized or requisitioned have a bearing on the determination of the total income of such other person</w:t>
      </w:r>
      <w:r w:rsidRPr="00AD1AB3">
        <w:rPr>
          <w:rFonts w:ascii="Verdana" w:hAnsi="Verdana"/>
          <w:i/>
          <w:color w:val="444444"/>
        </w:rPr>
        <w:t xml:space="preserve"> for six assessment years immediately preceding the assessment year relevant to the previous year in which </w:t>
      </w:r>
      <w:r w:rsidRPr="00AD1AB3">
        <w:rPr>
          <w:rFonts w:ascii="Verdana" w:hAnsi="Verdana"/>
          <w:i/>
          <w:color w:val="444444"/>
        </w:rPr>
        <w:lastRenderedPageBreak/>
        <w:t>search is conducted or requisition is made and for the relevant assessment year or years referred to in sub-section (1) of section 153A :</w:t>
      </w:r>
    </w:p>
    <w:p w14:paraId="0124EDF6" w14:textId="77777777" w:rsidR="003803CE" w:rsidRPr="00AD1AB3" w:rsidRDefault="003803CE" w:rsidP="00D43E5F">
      <w:pPr>
        <w:pStyle w:val="NormalWeb"/>
        <w:shd w:val="clear" w:color="auto" w:fill="FFFFFF"/>
        <w:spacing w:before="0" w:beforeAutospacing="0" w:after="0" w:afterAutospacing="0" w:line="360" w:lineRule="auto"/>
        <w:jc w:val="both"/>
        <w:rPr>
          <w:rFonts w:ascii="Verdana" w:hAnsi="Verdana"/>
          <w:i/>
          <w:color w:val="444444"/>
        </w:rPr>
      </w:pPr>
      <w:r w:rsidRPr="00AD1AB3">
        <w:rPr>
          <w:rFonts w:ascii="Verdana" w:hAnsi="Verdana"/>
          <w:b/>
          <w:bCs/>
          <w:i/>
          <w:color w:val="444444"/>
        </w:rPr>
        <w:t>Provided</w:t>
      </w:r>
      <w:r w:rsidRPr="00AD1AB3">
        <w:rPr>
          <w:rFonts w:ascii="Verdana" w:hAnsi="Verdana"/>
          <w:i/>
          <w:color w:val="444444"/>
        </w:rPr>
        <w:t xml:space="preserve"> that in case of such other person, the reference to the date of initiation of the search under section 132 or making of requisition under section 132A in the second proviso to sub-section (1) of section 153A shall be construed as reference to the date of receiving the books of account or documents or assets seized or requisitioned by the Assessing Officer having jurisdiction over such other </w:t>
      </w:r>
      <w:proofErr w:type="gramStart"/>
      <w:r w:rsidRPr="00AD1AB3">
        <w:rPr>
          <w:rFonts w:ascii="Verdana" w:hAnsi="Verdana"/>
          <w:i/>
          <w:color w:val="444444"/>
        </w:rPr>
        <w:t>person :</w:t>
      </w:r>
      <w:proofErr w:type="gramEnd"/>
    </w:p>
    <w:p w14:paraId="0124EDF7" w14:textId="77777777" w:rsidR="003803CE" w:rsidRPr="00AD1AB3" w:rsidRDefault="003803CE" w:rsidP="00D43E5F">
      <w:pPr>
        <w:pStyle w:val="NormalWeb"/>
        <w:shd w:val="clear" w:color="auto" w:fill="FFFFFF"/>
        <w:spacing w:before="0" w:beforeAutospacing="0" w:after="0" w:afterAutospacing="0" w:line="360" w:lineRule="auto"/>
        <w:jc w:val="both"/>
        <w:rPr>
          <w:rFonts w:ascii="Verdana" w:hAnsi="Verdana"/>
          <w:i/>
          <w:color w:val="444444"/>
        </w:rPr>
      </w:pPr>
      <w:r w:rsidRPr="00AD1AB3">
        <w:rPr>
          <w:rFonts w:ascii="Verdana" w:hAnsi="Verdana"/>
          <w:b/>
          <w:bCs/>
          <w:i/>
          <w:color w:val="444444"/>
        </w:rPr>
        <w:t>Provided further</w:t>
      </w:r>
      <w:r w:rsidRPr="00AD1AB3">
        <w:rPr>
          <w:rFonts w:ascii="Verdana" w:hAnsi="Verdana"/>
          <w:i/>
          <w:color w:val="444444"/>
        </w:rPr>
        <w:t> that the Central Government may by rules</w:t>
      </w:r>
      <w:r w:rsidRPr="00AD1AB3">
        <w:rPr>
          <w:rFonts w:ascii="Verdana" w:hAnsi="Verdana"/>
          <w:i/>
          <w:color w:val="444444"/>
          <w:vertAlign w:val="superscript"/>
        </w:rPr>
        <w:t>69</w:t>
      </w:r>
      <w:r w:rsidRPr="00AD1AB3">
        <w:rPr>
          <w:rFonts w:ascii="Verdana" w:hAnsi="Verdana"/>
          <w:i/>
          <w:color w:val="444444"/>
        </w:rPr>
        <w:t> made by it and published in the Official Gazette, specify the class or classes of cases in respect of such other person, in which the Assessing Officer shall not be required to issue notice for assessing or reassessing the total income for six assessment years immediately preceding the assessment year relevant to the previous year in which search is conducted or requisition is made and for the relevant assessment year or years as referred to in sub-section (1) of section 153A except in cases where any assessment or reassessment has abated.</w:t>
      </w:r>
    </w:p>
    <w:p w14:paraId="0124EDF8" w14:textId="77777777" w:rsidR="003803CE" w:rsidRPr="00AD1AB3" w:rsidRDefault="003803CE" w:rsidP="00D43E5F">
      <w:pPr>
        <w:pStyle w:val="NormalWeb"/>
        <w:shd w:val="clear" w:color="auto" w:fill="FFFFFF"/>
        <w:spacing w:before="0" w:beforeAutospacing="0" w:after="0" w:afterAutospacing="0" w:line="360" w:lineRule="auto"/>
        <w:jc w:val="both"/>
        <w:rPr>
          <w:rFonts w:ascii="Verdana" w:hAnsi="Verdana"/>
          <w:i/>
          <w:color w:val="444444"/>
        </w:rPr>
      </w:pPr>
      <w:r w:rsidRPr="00AD1AB3">
        <w:rPr>
          <w:rFonts w:ascii="Verdana" w:hAnsi="Verdana"/>
          <w:i/>
          <w:color w:val="444444"/>
        </w:rPr>
        <w:t>(2) Where books of account or documents or assets seized or requisitioned as referred to in sub-section (1) has or have been received by the Assessing Officer having jurisdiction over such other person after the due date for furnishing the return of income for the assessment year relevant to the previous year in which search is conducted under section 132 or requisition is made under section 132A and in respect of such assessment year—</w:t>
      </w:r>
    </w:p>
    <w:p w14:paraId="0124EDF9" w14:textId="77777777" w:rsidR="003803CE" w:rsidRPr="00AD1AB3" w:rsidRDefault="003803CE" w:rsidP="00D43E5F">
      <w:pPr>
        <w:pStyle w:val="NormalWeb"/>
        <w:shd w:val="clear" w:color="auto" w:fill="FFFFFF"/>
        <w:spacing w:before="0" w:beforeAutospacing="0" w:after="0" w:afterAutospacing="0" w:line="360" w:lineRule="auto"/>
        <w:ind w:left="567"/>
        <w:jc w:val="both"/>
        <w:rPr>
          <w:rFonts w:ascii="Verdana" w:hAnsi="Verdana"/>
          <w:i/>
          <w:color w:val="444444"/>
        </w:rPr>
      </w:pPr>
      <w:r w:rsidRPr="00AD1AB3">
        <w:rPr>
          <w:rFonts w:ascii="Verdana" w:hAnsi="Verdana"/>
          <w:i/>
          <w:color w:val="444444"/>
        </w:rPr>
        <w:t> (</w:t>
      </w:r>
      <w:r w:rsidRPr="00AD1AB3">
        <w:rPr>
          <w:rFonts w:ascii="Verdana" w:hAnsi="Verdana"/>
          <w:i/>
          <w:iCs/>
          <w:color w:val="444444"/>
        </w:rPr>
        <w:t>a</w:t>
      </w:r>
      <w:r w:rsidRPr="00AD1AB3">
        <w:rPr>
          <w:rFonts w:ascii="Verdana" w:hAnsi="Verdana"/>
          <w:i/>
          <w:color w:val="444444"/>
        </w:rPr>
        <w:t>) no return of income has been furnished by such other person and no notice under sub-section (1) of section 142 has been issued to him, or</w:t>
      </w:r>
    </w:p>
    <w:p w14:paraId="0124EDFA" w14:textId="77777777" w:rsidR="003803CE" w:rsidRPr="00AD1AB3" w:rsidRDefault="003803CE" w:rsidP="00D43E5F">
      <w:pPr>
        <w:pStyle w:val="NormalWeb"/>
        <w:shd w:val="clear" w:color="auto" w:fill="FFFFFF"/>
        <w:spacing w:before="0" w:beforeAutospacing="0" w:after="0" w:afterAutospacing="0" w:line="360" w:lineRule="auto"/>
        <w:ind w:left="567"/>
        <w:jc w:val="both"/>
        <w:rPr>
          <w:rFonts w:ascii="Verdana" w:hAnsi="Verdana"/>
          <w:i/>
          <w:color w:val="444444"/>
        </w:rPr>
      </w:pPr>
      <w:r w:rsidRPr="00AD1AB3">
        <w:rPr>
          <w:rFonts w:ascii="Verdana" w:hAnsi="Verdana"/>
          <w:i/>
          <w:color w:val="444444"/>
        </w:rPr>
        <w:t> (</w:t>
      </w:r>
      <w:r w:rsidRPr="00AD1AB3">
        <w:rPr>
          <w:rFonts w:ascii="Verdana" w:hAnsi="Verdana"/>
          <w:i/>
          <w:iCs/>
          <w:color w:val="444444"/>
        </w:rPr>
        <w:t>b</w:t>
      </w:r>
      <w:r w:rsidRPr="00AD1AB3">
        <w:rPr>
          <w:rFonts w:ascii="Verdana" w:hAnsi="Verdana"/>
          <w:i/>
          <w:color w:val="444444"/>
        </w:rPr>
        <w:t>) a return of income has been furnished by such other person but no notice under sub-section (2) of section 143 has been served and limitation of serving the notice under sub-section (2) of section 143 has expired, or</w:t>
      </w:r>
    </w:p>
    <w:p w14:paraId="0124EDFB" w14:textId="77777777" w:rsidR="003803CE" w:rsidRPr="00AD1AB3" w:rsidRDefault="003803CE" w:rsidP="00D43E5F">
      <w:pPr>
        <w:pStyle w:val="NormalWeb"/>
        <w:shd w:val="clear" w:color="auto" w:fill="FFFFFF"/>
        <w:spacing w:before="0" w:beforeAutospacing="0" w:after="0" w:afterAutospacing="0" w:line="360" w:lineRule="auto"/>
        <w:ind w:left="567"/>
        <w:jc w:val="both"/>
        <w:rPr>
          <w:rFonts w:ascii="Verdana" w:hAnsi="Verdana"/>
          <w:i/>
          <w:color w:val="444444"/>
        </w:rPr>
      </w:pPr>
      <w:r w:rsidRPr="00AD1AB3">
        <w:rPr>
          <w:rFonts w:ascii="Verdana" w:hAnsi="Verdana"/>
          <w:i/>
          <w:color w:val="444444"/>
        </w:rPr>
        <w:t> (</w:t>
      </w:r>
      <w:r w:rsidRPr="00AD1AB3">
        <w:rPr>
          <w:rFonts w:ascii="Verdana" w:hAnsi="Verdana"/>
          <w:i/>
          <w:iCs/>
          <w:color w:val="444444"/>
        </w:rPr>
        <w:t>c</w:t>
      </w:r>
      <w:r w:rsidRPr="00AD1AB3">
        <w:rPr>
          <w:rFonts w:ascii="Verdana" w:hAnsi="Verdana"/>
          <w:i/>
          <w:color w:val="444444"/>
        </w:rPr>
        <w:t>) assessment or reassessment, if any, has been made,</w:t>
      </w:r>
    </w:p>
    <w:p w14:paraId="0124EDFC" w14:textId="77777777" w:rsidR="003803CE" w:rsidRPr="00AD1AB3" w:rsidRDefault="003803CE" w:rsidP="00D43E5F">
      <w:pPr>
        <w:pStyle w:val="NormalWeb"/>
        <w:shd w:val="clear" w:color="auto" w:fill="FFFFFF"/>
        <w:spacing w:before="0" w:beforeAutospacing="0" w:after="0" w:afterAutospacing="0" w:line="360" w:lineRule="auto"/>
        <w:jc w:val="both"/>
        <w:rPr>
          <w:rFonts w:ascii="Verdana" w:hAnsi="Verdana"/>
          <w:i/>
          <w:color w:val="444444"/>
        </w:rPr>
      </w:pPr>
      <w:r w:rsidRPr="00AD1AB3">
        <w:rPr>
          <w:rFonts w:ascii="Verdana" w:hAnsi="Verdana"/>
          <w:i/>
          <w:color w:val="444444"/>
        </w:rPr>
        <w:lastRenderedPageBreak/>
        <w:t>before the date of receiving the books of account or documents or assets seized or requisitioned by the Assessing Officer having jurisdiction over such other person, such Assessing Officer shall issue the notice and assess or reassess total income of such other person of such assessment year in the manner provided in section 153A.</w:t>
      </w:r>
    </w:p>
    <w:p w14:paraId="0124EDFD" w14:textId="77777777" w:rsidR="00AD1AB3" w:rsidRDefault="003803CE" w:rsidP="00D43E5F">
      <w:pPr>
        <w:pStyle w:val="NormalWeb"/>
        <w:shd w:val="clear" w:color="auto" w:fill="FFFFFF"/>
        <w:spacing w:before="0" w:beforeAutospacing="0" w:after="0" w:afterAutospacing="0" w:line="360" w:lineRule="auto"/>
        <w:jc w:val="both"/>
        <w:rPr>
          <w:rFonts w:ascii="Verdana" w:hAnsi="Verdana"/>
          <w:i/>
          <w:color w:val="444444"/>
        </w:rPr>
      </w:pPr>
      <w:r w:rsidRPr="00AD1AB3">
        <w:rPr>
          <w:rFonts w:ascii="Verdana" w:hAnsi="Verdana"/>
          <w:i/>
          <w:color w:val="444444"/>
          <w:vertAlign w:val="superscript"/>
        </w:rPr>
        <w:t>70</w:t>
      </w:r>
      <w:r w:rsidRPr="00AD1AB3">
        <w:rPr>
          <w:rFonts w:ascii="Verdana" w:hAnsi="Verdana"/>
          <w:i/>
          <w:color w:val="444444"/>
        </w:rPr>
        <w:t>[(3) Nothing contained in this section shall apply in relation to a search initiated under section 132 or books of account, other documents or any assets requisitioned under section 132A on or after the 1st day of April, 2021.]</w:t>
      </w:r>
      <w:r w:rsidR="00AD1AB3">
        <w:rPr>
          <w:rFonts w:ascii="Verdana" w:hAnsi="Verdana"/>
          <w:i/>
          <w:color w:val="444444"/>
        </w:rPr>
        <w:t>”</w:t>
      </w:r>
    </w:p>
    <w:p w14:paraId="0124EDFE" w14:textId="2541764C" w:rsidR="00AD1AB3" w:rsidRPr="00243C53" w:rsidRDefault="00C96C1F" w:rsidP="00D43E5F">
      <w:pPr>
        <w:pStyle w:val="NormalWeb"/>
        <w:shd w:val="clear" w:color="auto" w:fill="FFFFFF"/>
        <w:spacing w:before="0" w:beforeAutospacing="0" w:after="0" w:afterAutospacing="0" w:line="360" w:lineRule="auto"/>
        <w:jc w:val="both"/>
        <w:rPr>
          <w:rFonts w:ascii="Verdana" w:hAnsi="Verdana"/>
          <w:b/>
          <w:bCs/>
          <w:color w:val="444444"/>
        </w:rPr>
      </w:pPr>
      <w:r>
        <w:rPr>
          <w:rFonts w:ascii="Verdana" w:hAnsi="Verdana"/>
          <w:b/>
          <w:bCs/>
          <w:color w:val="444444"/>
        </w:rPr>
        <w:t xml:space="preserve">B. </w:t>
      </w:r>
      <w:r w:rsidR="00AD1AB3" w:rsidRPr="00243C53">
        <w:rPr>
          <w:rFonts w:ascii="Verdana" w:hAnsi="Verdana"/>
          <w:b/>
          <w:bCs/>
          <w:color w:val="444444"/>
        </w:rPr>
        <w:t>From the above, it may be noticed that:</w:t>
      </w:r>
    </w:p>
    <w:p w14:paraId="0124EDFF" w14:textId="2D5A1F87" w:rsidR="00AD1AB3" w:rsidRDefault="00AD1AB3" w:rsidP="00D43E5F">
      <w:pPr>
        <w:pStyle w:val="NormalWeb"/>
        <w:numPr>
          <w:ilvl w:val="0"/>
          <w:numId w:val="2"/>
        </w:numPr>
        <w:shd w:val="clear" w:color="auto" w:fill="FFFFFF"/>
        <w:spacing w:before="0" w:beforeAutospacing="0" w:after="0" w:afterAutospacing="0" w:line="360" w:lineRule="auto"/>
        <w:jc w:val="both"/>
        <w:rPr>
          <w:rFonts w:ascii="Verdana" w:hAnsi="Verdana"/>
          <w:color w:val="444444"/>
        </w:rPr>
      </w:pPr>
      <w:r>
        <w:rPr>
          <w:rFonts w:ascii="Verdana" w:hAnsi="Verdana"/>
          <w:color w:val="444444"/>
        </w:rPr>
        <w:t>Where in the course of search, any document/books of accounts are found and seized pertains to or any information contained therein relates to a person</w:t>
      </w:r>
      <w:r w:rsidR="000F7639">
        <w:rPr>
          <w:rFonts w:ascii="Verdana" w:hAnsi="Verdana"/>
          <w:color w:val="444444"/>
        </w:rPr>
        <w:t xml:space="preserve"> other than</w:t>
      </w:r>
      <w:r>
        <w:rPr>
          <w:rFonts w:ascii="Verdana" w:hAnsi="Verdana"/>
          <w:color w:val="444444"/>
        </w:rPr>
        <w:t xml:space="preserve"> the person searched;</w:t>
      </w:r>
    </w:p>
    <w:p w14:paraId="0124EE00" w14:textId="77777777" w:rsidR="00AD1AB3" w:rsidRDefault="00AD1AB3" w:rsidP="00D43E5F">
      <w:pPr>
        <w:pStyle w:val="NormalWeb"/>
        <w:numPr>
          <w:ilvl w:val="0"/>
          <w:numId w:val="2"/>
        </w:numPr>
        <w:shd w:val="clear" w:color="auto" w:fill="FFFFFF"/>
        <w:spacing w:before="0" w:beforeAutospacing="0" w:after="0" w:afterAutospacing="0" w:line="360" w:lineRule="auto"/>
        <w:jc w:val="both"/>
        <w:rPr>
          <w:rFonts w:ascii="Verdana" w:hAnsi="Verdana"/>
          <w:color w:val="444444"/>
        </w:rPr>
      </w:pPr>
      <w:r>
        <w:rPr>
          <w:rFonts w:ascii="Verdana" w:hAnsi="Verdana"/>
          <w:color w:val="444444"/>
        </w:rPr>
        <w:t>The books of accounts or documents so seized</w:t>
      </w:r>
      <w:r w:rsidR="000F7639">
        <w:rPr>
          <w:rFonts w:ascii="Verdana" w:hAnsi="Verdana"/>
          <w:color w:val="444444"/>
        </w:rPr>
        <w:t xml:space="preserve"> having information contained therein</w:t>
      </w:r>
      <w:r>
        <w:rPr>
          <w:rFonts w:ascii="Verdana" w:hAnsi="Verdana"/>
          <w:color w:val="444444"/>
        </w:rPr>
        <w:t xml:space="preserve"> should be handed over to the AO having jurisdiction over such other person;</w:t>
      </w:r>
    </w:p>
    <w:p w14:paraId="0124EE01" w14:textId="77777777" w:rsidR="00AD1AB3" w:rsidRDefault="00D43E5F" w:rsidP="00D43E5F">
      <w:pPr>
        <w:pStyle w:val="NormalWeb"/>
        <w:numPr>
          <w:ilvl w:val="0"/>
          <w:numId w:val="2"/>
        </w:numPr>
        <w:shd w:val="clear" w:color="auto" w:fill="FFFFFF"/>
        <w:spacing w:before="0" w:beforeAutospacing="0" w:after="0" w:afterAutospacing="0" w:line="360" w:lineRule="auto"/>
        <w:jc w:val="both"/>
        <w:rPr>
          <w:rFonts w:ascii="Verdana" w:hAnsi="Verdana"/>
          <w:color w:val="444444"/>
        </w:rPr>
      </w:pPr>
      <w:r>
        <w:rPr>
          <w:rFonts w:ascii="Verdana" w:hAnsi="Verdana"/>
          <w:color w:val="444444"/>
        </w:rPr>
        <w:t>The AO then issue notice to assess or reassess that other person; and</w:t>
      </w:r>
    </w:p>
    <w:p w14:paraId="0124EE02" w14:textId="77777777" w:rsidR="00AD1AB3" w:rsidRDefault="00AD1AB3" w:rsidP="00D43E5F">
      <w:pPr>
        <w:pStyle w:val="NormalWeb"/>
        <w:numPr>
          <w:ilvl w:val="0"/>
          <w:numId w:val="2"/>
        </w:numPr>
        <w:shd w:val="clear" w:color="auto" w:fill="FFFFFF"/>
        <w:spacing w:before="0" w:beforeAutospacing="0" w:after="0" w:afterAutospacing="0" w:line="360" w:lineRule="auto"/>
        <w:jc w:val="both"/>
        <w:rPr>
          <w:rFonts w:ascii="Verdana" w:hAnsi="Verdana"/>
          <w:color w:val="444444"/>
        </w:rPr>
      </w:pPr>
      <w:r>
        <w:rPr>
          <w:rFonts w:ascii="Verdana" w:hAnsi="Verdana"/>
          <w:color w:val="444444"/>
        </w:rPr>
        <w:t>The AO then shall proceed against such other person if that AO is satisfied that the books of account or documents have a bearing on the determination of total income of that other person</w:t>
      </w:r>
    </w:p>
    <w:p w14:paraId="0124EE03" w14:textId="1FECE8EB" w:rsidR="00AD1AB3" w:rsidRDefault="00D43E5F" w:rsidP="00D43E5F">
      <w:pPr>
        <w:pStyle w:val="NormalWeb"/>
        <w:numPr>
          <w:ilvl w:val="0"/>
          <w:numId w:val="2"/>
        </w:numPr>
        <w:shd w:val="clear" w:color="auto" w:fill="FFFFFF"/>
        <w:spacing w:before="0" w:beforeAutospacing="0" w:after="0" w:afterAutospacing="0" w:line="360" w:lineRule="auto"/>
        <w:jc w:val="both"/>
        <w:rPr>
          <w:rFonts w:ascii="Verdana" w:hAnsi="Verdana"/>
          <w:color w:val="444444"/>
        </w:rPr>
      </w:pPr>
      <w:r>
        <w:rPr>
          <w:rFonts w:ascii="Verdana" w:hAnsi="Verdana"/>
          <w:color w:val="444444"/>
        </w:rPr>
        <w:t>These provisions begin with a non-obstante clause excluding the operation of the provisions of sections 139, 147, 148, 151 and section 153 of the Act.</w:t>
      </w:r>
      <w:r w:rsidR="005E692D">
        <w:rPr>
          <w:rFonts w:ascii="Verdana" w:hAnsi="Verdana"/>
          <w:color w:val="444444"/>
        </w:rPr>
        <w:t xml:space="preserve"> </w:t>
      </w:r>
    </w:p>
    <w:p w14:paraId="0124EE04" w14:textId="77777777" w:rsidR="00D43E5F" w:rsidRDefault="00D43E5F" w:rsidP="00D43E5F">
      <w:pPr>
        <w:pStyle w:val="NormalWeb"/>
        <w:shd w:val="clear" w:color="auto" w:fill="FFFFFF"/>
        <w:spacing w:before="0" w:beforeAutospacing="0" w:after="0" w:afterAutospacing="0" w:line="360" w:lineRule="auto"/>
        <w:ind w:left="360"/>
        <w:jc w:val="both"/>
        <w:rPr>
          <w:rFonts w:ascii="Verdana" w:hAnsi="Verdana"/>
          <w:b/>
          <w:bCs/>
          <w:color w:val="444444"/>
        </w:rPr>
      </w:pPr>
      <w:r w:rsidRPr="00C96C1F">
        <w:rPr>
          <w:rFonts w:ascii="Verdana" w:hAnsi="Verdana"/>
          <w:b/>
          <w:bCs/>
          <w:color w:val="444444"/>
        </w:rPr>
        <w:t>In these circumstances, the assumption of jurisdiction under section 147 with the issue of notice under section 148 of the Act is bad-in-law, illegal and without authority of law.</w:t>
      </w:r>
    </w:p>
    <w:p w14:paraId="609B448E" w14:textId="77777777" w:rsidR="00F770FA" w:rsidRDefault="00F770FA" w:rsidP="00D43E5F">
      <w:pPr>
        <w:pStyle w:val="NormalWeb"/>
        <w:shd w:val="clear" w:color="auto" w:fill="FFFFFF"/>
        <w:spacing w:before="0" w:beforeAutospacing="0" w:after="0" w:afterAutospacing="0" w:line="360" w:lineRule="auto"/>
        <w:ind w:left="360"/>
        <w:jc w:val="both"/>
        <w:rPr>
          <w:rFonts w:ascii="Verdana" w:hAnsi="Verdana"/>
          <w:b/>
          <w:bCs/>
          <w:color w:val="444444"/>
        </w:rPr>
      </w:pPr>
    </w:p>
    <w:p w14:paraId="7ABD2F9E" w14:textId="77777777" w:rsidR="009A2A54" w:rsidRDefault="009A2A54" w:rsidP="00D43E5F">
      <w:pPr>
        <w:pStyle w:val="NormalWeb"/>
        <w:shd w:val="clear" w:color="auto" w:fill="FFFFFF"/>
        <w:spacing w:before="0" w:beforeAutospacing="0" w:after="0" w:afterAutospacing="0" w:line="360" w:lineRule="auto"/>
        <w:ind w:left="360"/>
        <w:jc w:val="both"/>
        <w:rPr>
          <w:rFonts w:ascii="Verdana" w:hAnsi="Verdana"/>
          <w:b/>
          <w:bCs/>
          <w:color w:val="444444"/>
        </w:rPr>
      </w:pPr>
    </w:p>
    <w:p w14:paraId="01148BB8" w14:textId="77777777" w:rsidR="009A2A54" w:rsidRDefault="009A2A54" w:rsidP="00D43E5F">
      <w:pPr>
        <w:pStyle w:val="NormalWeb"/>
        <w:shd w:val="clear" w:color="auto" w:fill="FFFFFF"/>
        <w:spacing w:before="0" w:beforeAutospacing="0" w:after="0" w:afterAutospacing="0" w:line="360" w:lineRule="auto"/>
        <w:ind w:left="360"/>
        <w:jc w:val="both"/>
        <w:rPr>
          <w:rFonts w:ascii="Verdana" w:hAnsi="Verdana"/>
          <w:b/>
          <w:bCs/>
          <w:color w:val="444444"/>
        </w:rPr>
      </w:pPr>
    </w:p>
    <w:p w14:paraId="2A719CE3" w14:textId="77777777" w:rsidR="009A2A54" w:rsidRDefault="009A2A54" w:rsidP="00D43E5F">
      <w:pPr>
        <w:pStyle w:val="NormalWeb"/>
        <w:shd w:val="clear" w:color="auto" w:fill="FFFFFF"/>
        <w:spacing w:before="0" w:beforeAutospacing="0" w:after="0" w:afterAutospacing="0" w:line="360" w:lineRule="auto"/>
        <w:ind w:left="360"/>
        <w:jc w:val="both"/>
        <w:rPr>
          <w:rFonts w:ascii="Verdana" w:hAnsi="Verdana"/>
          <w:b/>
          <w:bCs/>
          <w:color w:val="444444"/>
        </w:rPr>
      </w:pPr>
    </w:p>
    <w:p w14:paraId="4F788E22" w14:textId="4D373D21" w:rsidR="00156EE1" w:rsidRPr="00156EE1" w:rsidRDefault="00156EE1" w:rsidP="00156EE1">
      <w:pPr>
        <w:pStyle w:val="ListParagraph"/>
        <w:numPr>
          <w:ilvl w:val="0"/>
          <w:numId w:val="3"/>
        </w:numPr>
        <w:tabs>
          <w:tab w:val="left" w:pos="1955"/>
        </w:tabs>
        <w:spacing w:line="360" w:lineRule="auto"/>
        <w:ind w:right="114"/>
        <w:jc w:val="both"/>
        <w:rPr>
          <w:rFonts w:ascii="Verdana" w:hAnsi="Verdana"/>
          <w:b/>
          <w:bCs/>
          <w:color w:val="FF0000"/>
          <w:sz w:val="24"/>
          <w:szCs w:val="24"/>
          <w:u w:val="single"/>
        </w:rPr>
      </w:pPr>
      <w:r w:rsidRPr="00156EE1">
        <w:rPr>
          <w:rFonts w:ascii="Verdana" w:hAnsi="Verdana"/>
          <w:b/>
          <w:bCs/>
          <w:color w:val="FF0000"/>
          <w:sz w:val="24"/>
          <w:szCs w:val="24"/>
          <w:u w:val="single"/>
        </w:rPr>
        <w:lastRenderedPageBreak/>
        <w:t xml:space="preserve">The </w:t>
      </w:r>
      <w:r w:rsidR="00965CE2">
        <w:rPr>
          <w:rFonts w:ascii="Verdana" w:hAnsi="Verdana"/>
          <w:b/>
          <w:bCs/>
          <w:color w:val="FF0000"/>
          <w:sz w:val="24"/>
          <w:szCs w:val="24"/>
          <w:u w:val="single"/>
        </w:rPr>
        <w:t>I</w:t>
      </w:r>
      <w:r w:rsidRPr="00156EE1">
        <w:rPr>
          <w:rFonts w:ascii="Verdana" w:hAnsi="Verdana"/>
          <w:b/>
          <w:bCs/>
          <w:color w:val="FF0000"/>
          <w:sz w:val="24"/>
          <w:szCs w:val="24"/>
          <w:u w:val="single"/>
        </w:rPr>
        <w:t>mpugned Notice under section 148 of the Act dated 30/07/2022 is time barred by limitation</w:t>
      </w:r>
    </w:p>
    <w:p w14:paraId="5EF183FE" w14:textId="77777777" w:rsidR="00156EE1" w:rsidRPr="007E4BAB" w:rsidRDefault="00156EE1" w:rsidP="00E4675F">
      <w:pPr>
        <w:pStyle w:val="ListParagraph"/>
        <w:widowControl w:val="0"/>
        <w:numPr>
          <w:ilvl w:val="0"/>
          <w:numId w:val="6"/>
        </w:numPr>
        <w:tabs>
          <w:tab w:val="left" w:pos="1955"/>
        </w:tabs>
        <w:autoSpaceDE w:val="0"/>
        <w:autoSpaceDN w:val="0"/>
        <w:spacing w:after="0" w:line="360" w:lineRule="auto"/>
        <w:ind w:right="114"/>
        <w:jc w:val="both"/>
        <w:rPr>
          <w:rFonts w:ascii="Verdana" w:hAnsi="Verdana"/>
          <w:sz w:val="24"/>
          <w:szCs w:val="24"/>
        </w:rPr>
      </w:pPr>
      <w:r w:rsidRPr="007E4BAB">
        <w:rPr>
          <w:rFonts w:ascii="Verdana" w:hAnsi="Verdana"/>
          <w:sz w:val="24"/>
          <w:szCs w:val="24"/>
        </w:rPr>
        <w:t>The Assessee states that several High Courts had decided the controversy of the issuance of Notices under section 148 under the erstwhile provisions of the Act after 1/04/2021 to 30/06/2021, in favour of the Assessee. Thereafter there was</w:t>
      </w:r>
      <w:r w:rsidRPr="007E4BAB">
        <w:rPr>
          <w:rFonts w:ascii="Verdana" w:hAnsi="Verdana"/>
          <w:b/>
          <w:sz w:val="24"/>
          <w:szCs w:val="24"/>
        </w:rPr>
        <w:t xml:space="preserve"> </w:t>
      </w:r>
      <w:r w:rsidRPr="007E4BAB">
        <w:rPr>
          <w:rFonts w:ascii="Verdana" w:hAnsi="Verdana"/>
          <w:sz w:val="24"/>
          <w:szCs w:val="24"/>
        </w:rPr>
        <w:t xml:space="preserve">flood of SLP’s by the Revenue as other High Courts also </w:t>
      </w:r>
      <w:proofErr w:type="gramStart"/>
      <w:r w:rsidRPr="007E4BAB">
        <w:rPr>
          <w:rFonts w:ascii="Verdana" w:hAnsi="Verdana"/>
          <w:sz w:val="24"/>
          <w:szCs w:val="24"/>
        </w:rPr>
        <w:t>i.e.</w:t>
      </w:r>
      <w:proofErr w:type="gramEnd"/>
      <w:r w:rsidRPr="007E4BAB">
        <w:rPr>
          <w:rFonts w:ascii="Verdana" w:hAnsi="Verdana"/>
          <w:sz w:val="24"/>
          <w:szCs w:val="24"/>
        </w:rPr>
        <w:t xml:space="preserve"> Allahabad High Court, High Court of Delhi, Rajasthan High Court, Calcutta High Court etc. where the Hon’ble High Courts held that once the new Sections i.e. 147 to 151 were brought into effect from 01/04/2021, the Assessing Officer has no authority or power under the old provisions to issue Notice under Section 148 of the Act (Unamended) on or after 01/04/2021. The Hon’ble Apex Court on Principle confirmed the decision in the case of </w:t>
      </w:r>
      <w:r w:rsidRPr="007E4BAB">
        <w:rPr>
          <w:rFonts w:ascii="Verdana" w:hAnsi="Verdana"/>
          <w:b/>
          <w:sz w:val="24"/>
          <w:szCs w:val="24"/>
        </w:rPr>
        <w:t xml:space="preserve">Tata Communications Transformation Service Ltd. WP No. 1334 of 2021, </w:t>
      </w:r>
      <w:r w:rsidRPr="007E4BAB">
        <w:rPr>
          <w:rFonts w:ascii="Verdana" w:hAnsi="Verdana"/>
          <w:sz w:val="24"/>
          <w:szCs w:val="24"/>
        </w:rPr>
        <w:t>as well as the decisions on this issue but the Hon’ble Apex Court was of the opinion that due to “</w:t>
      </w:r>
      <w:proofErr w:type="spellStart"/>
      <w:r w:rsidRPr="007E4BAB">
        <w:rPr>
          <w:rFonts w:ascii="Verdana" w:hAnsi="Verdana"/>
          <w:sz w:val="24"/>
          <w:szCs w:val="24"/>
        </w:rPr>
        <w:t>bonafide</w:t>
      </w:r>
      <w:proofErr w:type="spellEnd"/>
      <w:r w:rsidRPr="007E4BAB">
        <w:rPr>
          <w:rFonts w:ascii="Verdana" w:hAnsi="Verdana"/>
          <w:sz w:val="24"/>
          <w:szCs w:val="24"/>
        </w:rPr>
        <w:t xml:space="preserve"> mistake” and in view of subsequent extension of time vide various notifications, the Revenue issued the impugned Notices under Section 148 after the amendment was enforce w.e.f. 1</w:t>
      </w:r>
      <w:r w:rsidRPr="007E4BAB">
        <w:rPr>
          <w:rFonts w:ascii="Verdana" w:hAnsi="Verdana"/>
          <w:sz w:val="24"/>
          <w:szCs w:val="24"/>
          <w:vertAlign w:val="superscript"/>
        </w:rPr>
        <w:t>st</w:t>
      </w:r>
      <w:r w:rsidRPr="007E4BAB">
        <w:rPr>
          <w:rFonts w:ascii="Verdana" w:hAnsi="Verdana"/>
          <w:sz w:val="24"/>
          <w:szCs w:val="24"/>
        </w:rPr>
        <w:t xml:space="preserve"> April, 2021 under the unamended Section 148. The Hon’ble Apex Court approved the view taken by the various High Courts on whether Notice under Section 148 of the Act (Unamended) was not rightly issued and the same ought to have been issued under the substituted provision of Section 147 to 151 of the Income Tax Act as per the Finance Act, 2021. The Hon’ble Apex Court was of the opinion that the Officers of the Revenue may have been under </w:t>
      </w:r>
      <w:proofErr w:type="spellStart"/>
      <w:r w:rsidRPr="007E4BAB">
        <w:rPr>
          <w:rFonts w:ascii="Verdana" w:hAnsi="Verdana"/>
          <w:sz w:val="24"/>
          <w:szCs w:val="24"/>
        </w:rPr>
        <w:t>bonafide</w:t>
      </w:r>
      <w:proofErr w:type="spellEnd"/>
      <w:r w:rsidRPr="007E4BAB">
        <w:rPr>
          <w:rFonts w:ascii="Verdana" w:hAnsi="Verdana"/>
          <w:sz w:val="24"/>
          <w:szCs w:val="24"/>
        </w:rPr>
        <w:t xml:space="preserve"> belief that the amendments may not yet have been enforce. The Hon’ble Apex Court held as under: </w:t>
      </w:r>
    </w:p>
    <w:p w14:paraId="726198B6" w14:textId="77777777" w:rsidR="00156EE1" w:rsidRPr="007E4BAB" w:rsidRDefault="00156EE1" w:rsidP="00E4675F">
      <w:pPr>
        <w:pStyle w:val="ListParagraph"/>
        <w:widowControl w:val="0"/>
        <w:numPr>
          <w:ilvl w:val="0"/>
          <w:numId w:val="7"/>
        </w:numPr>
        <w:tabs>
          <w:tab w:val="left" w:pos="4253"/>
        </w:tabs>
        <w:autoSpaceDE w:val="0"/>
        <w:autoSpaceDN w:val="0"/>
        <w:spacing w:before="202" w:after="0" w:line="360" w:lineRule="auto"/>
        <w:ind w:left="1134" w:right="114" w:hanging="283"/>
        <w:contextualSpacing w:val="0"/>
        <w:jc w:val="both"/>
        <w:rPr>
          <w:rFonts w:ascii="Verdana" w:hAnsi="Verdana"/>
          <w:sz w:val="24"/>
          <w:szCs w:val="24"/>
        </w:rPr>
      </w:pPr>
      <w:r w:rsidRPr="007E4BAB">
        <w:rPr>
          <w:rFonts w:ascii="Verdana" w:hAnsi="Verdana"/>
          <w:sz w:val="24"/>
          <w:szCs w:val="24"/>
        </w:rPr>
        <w:t xml:space="preserve">The respective impugned Section 148 Notices issued to the respective </w:t>
      </w:r>
      <w:proofErr w:type="spellStart"/>
      <w:r w:rsidRPr="007E4BAB">
        <w:rPr>
          <w:rFonts w:ascii="Verdana" w:hAnsi="Verdana"/>
          <w:sz w:val="24"/>
          <w:szCs w:val="24"/>
        </w:rPr>
        <w:t>assessees</w:t>
      </w:r>
      <w:proofErr w:type="spellEnd"/>
      <w:r w:rsidRPr="007E4BAB">
        <w:rPr>
          <w:rFonts w:ascii="Verdana" w:hAnsi="Verdana"/>
          <w:sz w:val="24"/>
          <w:szCs w:val="24"/>
        </w:rPr>
        <w:t xml:space="preserve"> shall be deemed to have been issued </w:t>
      </w:r>
      <w:r w:rsidRPr="007E4BAB">
        <w:rPr>
          <w:rFonts w:ascii="Verdana" w:hAnsi="Verdana"/>
          <w:sz w:val="24"/>
          <w:szCs w:val="24"/>
        </w:rPr>
        <w:lastRenderedPageBreak/>
        <w:t xml:space="preserve">under Section 148A of the Income Tax Act as substituted by the Finance Act, 2021 and treated to be Show Cause Notices in terms of Section 148A(b). The respective Assessing Officer shall within thirty days from today provide to the </w:t>
      </w:r>
      <w:proofErr w:type="spellStart"/>
      <w:r w:rsidRPr="007E4BAB">
        <w:rPr>
          <w:rFonts w:ascii="Verdana" w:hAnsi="Verdana"/>
          <w:sz w:val="24"/>
          <w:szCs w:val="24"/>
        </w:rPr>
        <w:t>Assessees</w:t>
      </w:r>
      <w:proofErr w:type="spellEnd"/>
      <w:r w:rsidRPr="007E4BAB">
        <w:rPr>
          <w:rFonts w:ascii="Verdana" w:hAnsi="Verdana"/>
          <w:sz w:val="24"/>
          <w:szCs w:val="24"/>
        </w:rPr>
        <w:t xml:space="preserve"> the information and material relied upon by the Revenue so that the </w:t>
      </w:r>
      <w:proofErr w:type="spellStart"/>
      <w:r w:rsidRPr="007E4BAB">
        <w:rPr>
          <w:rFonts w:ascii="Verdana" w:hAnsi="Verdana"/>
          <w:sz w:val="24"/>
          <w:szCs w:val="24"/>
        </w:rPr>
        <w:t>Assessees</w:t>
      </w:r>
      <w:proofErr w:type="spellEnd"/>
      <w:r w:rsidRPr="007E4BAB">
        <w:rPr>
          <w:rFonts w:ascii="Verdana" w:hAnsi="Verdana"/>
          <w:sz w:val="24"/>
          <w:szCs w:val="24"/>
        </w:rPr>
        <w:t xml:space="preserve"> can reply to the Notices within two weeks thereafter;</w:t>
      </w:r>
    </w:p>
    <w:p w14:paraId="252C7E79" w14:textId="77777777" w:rsidR="00156EE1" w:rsidRPr="007E4BAB" w:rsidRDefault="00156EE1" w:rsidP="00E4675F">
      <w:pPr>
        <w:pStyle w:val="ListParagraph"/>
        <w:widowControl w:val="0"/>
        <w:numPr>
          <w:ilvl w:val="0"/>
          <w:numId w:val="7"/>
        </w:numPr>
        <w:tabs>
          <w:tab w:val="left" w:pos="4253"/>
        </w:tabs>
        <w:autoSpaceDE w:val="0"/>
        <w:autoSpaceDN w:val="0"/>
        <w:spacing w:before="198" w:after="0" w:line="360" w:lineRule="auto"/>
        <w:ind w:left="1134" w:right="116" w:hanging="567"/>
        <w:contextualSpacing w:val="0"/>
        <w:jc w:val="both"/>
        <w:rPr>
          <w:rFonts w:ascii="Verdana" w:hAnsi="Verdana"/>
          <w:sz w:val="24"/>
          <w:szCs w:val="24"/>
        </w:rPr>
      </w:pPr>
      <w:r w:rsidRPr="007E4BAB">
        <w:rPr>
          <w:rFonts w:ascii="Verdana" w:hAnsi="Verdana"/>
          <w:sz w:val="24"/>
          <w:szCs w:val="24"/>
        </w:rPr>
        <w:t>The requirement of conducting any enquiry with the prior approval of the specified Authority under Section 148A(a) be dispensed with as a onetime measure vis-à-vis those Notices which have been issued under Section 148 of the unamended Act from April 1, 2021 till date, including those which have been quashed by the High Courts;</w:t>
      </w:r>
    </w:p>
    <w:p w14:paraId="36FCA147" w14:textId="2CC17581" w:rsidR="00156EE1" w:rsidRPr="007E4BAB" w:rsidRDefault="00156EE1" w:rsidP="00E4675F">
      <w:pPr>
        <w:pStyle w:val="ListParagraph"/>
        <w:widowControl w:val="0"/>
        <w:numPr>
          <w:ilvl w:val="0"/>
          <w:numId w:val="7"/>
        </w:numPr>
        <w:autoSpaceDE w:val="0"/>
        <w:autoSpaceDN w:val="0"/>
        <w:spacing w:before="188" w:after="0" w:line="360" w:lineRule="auto"/>
        <w:ind w:left="1134" w:right="115" w:hanging="567"/>
        <w:contextualSpacing w:val="0"/>
        <w:jc w:val="both"/>
        <w:rPr>
          <w:rFonts w:ascii="Verdana" w:hAnsi="Verdana"/>
          <w:sz w:val="24"/>
          <w:szCs w:val="24"/>
        </w:rPr>
      </w:pPr>
      <w:r w:rsidRPr="007E4BAB">
        <w:rPr>
          <w:rFonts w:ascii="Verdana" w:hAnsi="Verdana"/>
          <w:sz w:val="24"/>
          <w:szCs w:val="24"/>
        </w:rPr>
        <w:t>The Assessing Officers shall thereafter pass an Order in terms of Section 148A(d) after following the due procedure as required under Section 148A(b) in respect of each of the concerned assesse</w:t>
      </w:r>
      <w:r w:rsidR="00005754">
        <w:rPr>
          <w:rFonts w:ascii="Verdana" w:hAnsi="Verdana"/>
          <w:sz w:val="24"/>
          <w:szCs w:val="24"/>
        </w:rPr>
        <w:t>e</w:t>
      </w:r>
      <w:r w:rsidRPr="007E4BAB">
        <w:rPr>
          <w:rFonts w:ascii="Verdana" w:hAnsi="Verdana"/>
          <w:sz w:val="24"/>
          <w:szCs w:val="24"/>
        </w:rPr>
        <w:t>;</w:t>
      </w:r>
    </w:p>
    <w:p w14:paraId="14C3F8E9" w14:textId="77777777" w:rsidR="00156EE1" w:rsidRPr="007E4BAB" w:rsidRDefault="00156EE1" w:rsidP="00005754">
      <w:pPr>
        <w:pStyle w:val="ListParagraph"/>
        <w:widowControl w:val="0"/>
        <w:numPr>
          <w:ilvl w:val="0"/>
          <w:numId w:val="7"/>
        </w:numPr>
        <w:tabs>
          <w:tab w:val="left" w:pos="3756"/>
        </w:tabs>
        <w:autoSpaceDE w:val="0"/>
        <w:autoSpaceDN w:val="0"/>
        <w:spacing w:before="191" w:after="0" w:line="360" w:lineRule="auto"/>
        <w:ind w:left="1134" w:right="114" w:hanging="567"/>
        <w:contextualSpacing w:val="0"/>
        <w:jc w:val="both"/>
        <w:rPr>
          <w:rFonts w:ascii="Verdana" w:hAnsi="Verdana"/>
          <w:b/>
          <w:bCs/>
          <w:sz w:val="24"/>
          <w:szCs w:val="24"/>
          <w:u w:val="single"/>
        </w:rPr>
      </w:pPr>
      <w:r w:rsidRPr="007E4BAB">
        <w:rPr>
          <w:rFonts w:ascii="Verdana" w:hAnsi="Verdana"/>
          <w:b/>
          <w:bCs/>
          <w:sz w:val="24"/>
          <w:szCs w:val="24"/>
          <w:u w:val="single"/>
        </w:rPr>
        <w:t>All the defences which may be available to the Assessee under Section 149 and/or which may be available under the Finance Act, 2021 and in law and whatever rights are available to the Assessing Officer under the Finance Act, 2021 are kept open and/or shall continue to be available and;</w:t>
      </w:r>
    </w:p>
    <w:p w14:paraId="3D30CD80" w14:textId="77777777" w:rsidR="00156EE1" w:rsidRPr="007E4BAB" w:rsidRDefault="00156EE1" w:rsidP="00005754">
      <w:pPr>
        <w:pStyle w:val="ListParagraph"/>
        <w:widowControl w:val="0"/>
        <w:numPr>
          <w:ilvl w:val="0"/>
          <w:numId w:val="7"/>
        </w:numPr>
        <w:tabs>
          <w:tab w:val="left" w:pos="3756"/>
        </w:tabs>
        <w:autoSpaceDE w:val="0"/>
        <w:autoSpaceDN w:val="0"/>
        <w:spacing w:before="89" w:after="0" w:line="360" w:lineRule="auto"/>
        <w:ind w:left="1134" w:right="116" w:hanging="567"/>
        <w:contextualSpacing w:val="0"/>
        <w:jc w:val="both"/>
        <w:rPr>
          <w:rFonts w:ascii="Verdana" w:hAnsi="Verdana"/>
          <w:sz w:val="24"/>
          <w:szCs w:val="24"/>
        </w:rPr>
      </w:pPr>
      <w:r w:rsidRPr="007E4BAB">
        <w:rPr>
          <w:rFonts w:ascii="Verdana" w:hAnsi="Verdana"/>
          <w:sz w:val="24"/>
          <w:szCs w:val="24"/>
        </w:rPr>
        <w:t>The present Order shall substitute/modify respective judgments and Orders passed by the respective High Courts quashing the similar Notices issued under unamended Section 148 of the Income Tax Act irrespective of whether they have been assailed before this Court or not;</w:t>
      </w:r>
    </w:p>
    <w:p w14:paraId="397A7C1A" w14:textId="77777777" w:rsidR="00156EE1" w:rsidRPr="007E4BAB" w:rsidRDefault="00156EE1" w:rsidP="00E4675F">
      <w:pPr>
        <w:pStyle w:val="ListParagraph"/>
        <w:widowControl w:val="0"/>
        <w:numPr>
          <w:ilvl w:val="0"/>
          <w:numId w:val="6"/>
        </w:numPr>
        <w:tabs>
          <w:tab w:val="left" w:pos="1955"/>
        </w:tabs>
        <w:autoSpaceDE w:val="0"/>
        <w:autoSpaceDN w:val="0"/>
        <w:spacing w:after="0" w:line="360" w:lineRule="auto"/>
        <w:ind w:right="114"/>
        <w:jc w:val="both"/>
        <w:rPr>
          <w:rFonts w:ascii="Verdana" w:hAnsi="Verdana"/>
          <w:sz w:val="24"/>
          <w:szCs w:val="24"/>
        </w:rPr>
      </w:pPr>
      <w:r w:rsidRPr="007E4BAB">
        <w:rPr>
          <w:rFonts w:ascii="Verdana" w:hAnsi="Verdana"/>
          <w:sz w:val="24"/>
          <w:szCs w:val="24"/>
        </w:rPr>
        <w:t xml:space="preserve">Subsequently, the CBDT by exercising powers under Section 119 of the Act of 1961 issued Instruction No.1 of 2022 dated 11/05/2022. </w:t>
      </w:r>
      <w:r w:rsidRPr="007E4BAB">
        <w:rPr>
          <w:rFonts w:ascii="Verdana" w:hAnsi="Verdana"/>
          <w:sz w:val="24"/>
          <w:szCs w:val="24"/>
        </w:rPr>
        <w:lastRenderedPageBreak/>
        <w:t xml:space="preserve">It is submitted that the Instruction No.1 of 2022 dated 11/05/2022 is beyond power an authority of the CBDT for the reason that Para No.6 and 7 are contrary to the provisions of the new Sections which are brought in the Act of 1961 w.e.f. 01/04/2021 and also the Instruction contain in Para No.6 and 7 are issued on erroneous interpretation of the judgment of the Hon’ble Apex Court in the case of </w:t>
      </w:r>
      <w:r w:rsidRPr="007E4BAB">
        <w:rPr>
          <w:rFonts w:ascii="Verdana" w:hAnsi="Verdana"/>
          <w:b/>
          <w:sz w:val="24"/>
          <w:szCs w:val="24"/>
        </w:rPr>
        <w:t xml:space="preserve">UOI V/s. Ashish Agarwal (Supra). </w:t>
      </w:r>
      <w:r w:rsidRPr="007E4BAB">
        <w:rPr>
          <w:rFonts w:ascii="Verdana" w:hAnsi="Verdana"/>
          <w:sz w:val="24"/>
          <w:szCs w:val="24"/>
        </w:rPr>
        <w:t xml:space="preserve">The Assessee submits that as per the principles laid down by the Hon’ble Supreme Court in the case of </w:t>
      </w:r>
      <w:r w:rsidRPr="007E4BAB">
        <w:rPr>
          <w:rFonts w:ascii="Verdana" w:hAnsi="Verdana"/>
          <w:b/>
          <w:sz w:val="24"/>
          <w:szCs w:val="24"/>
        </w:rPr>
        <w:t xml:space="preserve">UOI V/s. Ashish Agarwal (Supra), </w:t>
      </w:r>
      <w:r w:rsidRPr="007E4BAB">
        <w:rPr>
          <w:rFonts w:ascii="Verdana" w:hAnsi="Verdana"/>
          <w:sz w:val="24"/>
          <w:szCs w:val="24"/>
        </w:rPr>
        <w:t xml:space="preserve">the Notices issued on or after 01/04/2022, which were subjected to the challenge were deemed to be treated as Notices issued under newly added Section 148A(b) of the Act and all the other findings and decisions on legal issues were confirmed by the Hon’ble Apex Court. It is submitted that CBDT has misread and misconstrued the judgment in the case of </w:t>
      </w:r>
      <w:r w:rsidRPr="007E4BAB">
        <w:rPr>
          <w:rFonts w:ascii="Verdana" w:hAnsi="Verdana"/>
          <w:b/>
          <w:sz w:val="24"/>
          <w:szCs w:val="24"/>
        </w:rPr>
        <w:t>UOI V/s. Ashish Agarwal (supra)</w:t>
      </w:r>
      <w:r w:rsidRPr="007E4BAB">
        <w:rPr>
          <w:rFonts w:ascii="Verdana" w:hAnsi="Verdana"/>
          <w:sz w:val="24"/>
          <w:szCs w:val="24"/>
        </w:rPr>
        <w:t xml:space="preserve"> and on the erroneous interpretation issued the instructions/direction in Para No.6 &amp; 7 of the Instruction No.1 of 2022 dated 11/05/2022. It is submitted that the Instructions or Directions issued by the CBDT on erroneous interpretation of the judgment in the case of </w:t>
      </w:r>
      <w:r w:rsidRPr="007E4BAB">
        <w:rPr>
          <w:rFonts w:ascii="Verdana" w:hAnsi="Verdana"/>
          <w:b/>
          <w:sz w:val="24"/>
          <w:szCs w:val="24"/>
        </w:rPr>
        <w:t>UOI V/s. Ashish Agarwal (supra)</w:t>
      </w:r>
      <w:r w:rsidRPr="007E4BAB">
        <w:rPr>
          <w:rFonts w:ascii="Verdana" w:hAnsi="Verdana"/>
          <w:sz w:val="24"/>
          <w:szCs w:val="24"/>
        </w:rPr>
        <w:t xml:space="preserve"> are not sustainable and bad in law. It is submitted that it is well settled principles of law as held by the Apex Court in the case of CIT V/s. Sun Engineering Co. </w:t>
      </w:r>
      <w:proofErr w:type="spellStart"/>
      <w:r w:rsidRPr="007E4BAB">
        <w:rPr>
          <w:rFonts w:ascii="Verdana" w:hAnsi="Verdana"/>
          <w:sz w:val="24"/>
          <w:szCs w:val="24"/>
        </w:rPr>
        <w:t>Pvt.</w:t>
      </w:r>
      <w:proofErr w:type="spellEnd"/>
      <w:r w:rsidRPr="007E4BAB">
        <w:rPr>
          <w:rFonts w:ascii="Verdana" w:hAnsi="Verdana"/>
          <w:sz w:val="24"/>
          <w:szCs w:val="24"/>
        </w:rPr>
        <w:t xml:space="preserve"> Ltd. – 198 ITR 297 that it is not permissible to pick a particular word or sentence of the particular judgment of the Supreme Court but the entire judgment </w:t>
      </w:r>
      <w:r w:rsidRPr="007E4BAB">
        <w:rPr>
          <w:rFonts w:ascii="Verdana" w:hAnsi="Verdana"/>
          <w:i/>
          <w:sz w:val="24"/>
          <w:szCs w:val="24"/>
        </w:rPr>
        <w:t xml:space="preserve">per se </w:t>
      </w:r>
      <w:r w:rsidRPr="007E4BAB">
        <w:rPr>
          <w:rFonts w:ascii="Verdana" w:hAnsi="Verdana"/>
          <w:sz w:val="24"/>
          <w:szCs w:val="24"/>
        </w:rPr>
        <w:t xml:space="preserve">needs to be read from the context of the question or issue which was under consideration before the Court. The view taken by the Department is as under: - </w:t>
      </w:r>
    </w:p>
    <w:p w14:paraId="2AF7C178" w14:textId="77777777" w:rsidR="00156EE1" w:rsidRPr="007E4BAB" w:rsidRDefault="00156EE1" w:rsidP="00E4675F">
      <w:pPr>
        <w:pStyle w:val="ListParagraph"/>
        <w:widowControl w:val="0"/>
        <w:numPr>
          <w:ilvl w:val="1"/>
          <w:numId w:val="8"/>
        </w:numPr>
        <w:autoSpaceDE w:val="0"/>
        <w:autoSpaceDN w:val="0"/>
        <w:spacing w:before="89" w:after="0" w:line="360" w:lineRule="auto"/>
        <w:ind w:right="116"/>
        <w:jc w:val="both"/>
        <w:rPr>
          <w:rFonts w:ascii="Verdana" w:hAnsi="Verdana"/>
          <w:i/>
          <w:sz w:val="24"/>
          <w:szCs w:val="24"/>
        </w:rPr>
      </w:pPr>
      <w:r w:rsidRPr="007E4BAB">
        <w:rPr>
          <w:rFonts w:ascii="Verdana" w:hAnsi="Verdana"/>
          <w:sz w:val="24"/>
          <w:szCs w:val="24"/>
        </w:rPr>
        <w:t xml:space="preserve">In para 6.1. and 6.2 of the Instruction, a stand has been taken by the Board that </w:t>
      </w:r>
      <w:r w:rsidRPr="007E4BAB">
        <w:rPr>
          <w:rFonts w:ascii="Verdana" w:hAnsi="Verdana"/>
          <w:i/>
          <w:sz w:val="24"/>
          <w:szCs w:val="24"/>
        </w:rPr>
        <w:t>“Decision of</w:t>
      </w:r>
      <w:r w:rsidRPr="007E4BAB">
        <w:rPr>
          <w:rFonts w:ascii="Verdana" w:hAnsi="Verdana"/>
          <w:i/>
          <w:spacing w:val="-9"/>
          <w:sz w:val="24"/>
          <w:szCs w:val="24"/>
        </w:rPr>
        <w:t xml:space="preserve"> </w:t>
      </w:r>
      <w:r w:rsidRPr="007E4BAB">
        <w:rPr>
          <w:rFonts w:ascii="Verdana" w:hAnsi="Verdana"/>
          <w:i/>
          <w:sz w:val="24"/>
          <w:szCs w:val="24"/>
        </w:rPr>
        <w:t>the Hon’ble Supreme Court read with the time extension provided by TOLA will allow the extended reassessment</w:t>
      </w:r>
      <w:r w:rsidRPr="007E4BAB">
        <w:rPr>
          <w:rFonts w:ascii="Verdana" w:hAnsi="Verdana"/>
          <w:i/>
          <w:spacing w:val="56"/>
          <w:sz w:val="24"/>
          <w:szCs w:val="24"/>
        </w:rPr>
        <w:t xml:space="preserve"> </w:t>
      </w:r>
      <w:r w:rsidRPr="007E4BAB">
        <w:rPr>
          <w:rFonts w:ascii="Verdana" w:hAnsi="Verdana"/>
          <w:i/>
          <w:sz w:val="24"/>
          <w:szCs w:val="24"/>
        </w:rPr>
        <w:t>notices</w:t>
      </w:r>
      <w:r w:rsidRPr="007E4BAB">
        <w:rPr>
          <w:rFonts w:ascii="Verdana" w:hAnsi="Verdana"/>
          <w:i/>
          <w:spacing w:val="54"/>
          <w:sz w:val="24"/>
          <w:szCs w:val="24"/>
        </w:rPr>
        <w:t xml:space="preserve"> </w:t>
      </w:r>
      <w:r w:rsidRPr="007E4BAB">
        <w:rPr>
          <w:rFonts w:ascii="Verdana" w:hAnsi="Verdana"/>
          <w:i/>
          <w:sz w:val="24"/>
          <w:szCs w:val="24"/>
        </w:rPr>
        <w:t>to</w:t>
      </w:r>
      <w:r w:rsidRPr="007E4BAB">
        <w:rPr>
          <w:rFonts w:ascii="Verdana" w:hAnsi="Verdana"/>
          <w:i/>
          <w:spacing w:val="56"/>
          <w:sz w:val="24"/>
          <w:szCs w:val="24"/>
        </w:rPr>
        <w:t xml:space="preserve"> </w:t>
      </w:r>
      <w:r w:rsidRPr="007E4BAB">
        <w:rPr>
          <w:rFonts w:ascii="Verdana" w:hAnsi="Verdana"/>
          <w:i/>
          <w:sz w:val="24"/>
          <w:szCs w:val="24"/>
        </w:rPr>
        <w:t>travel</w:t>
      </w:r>
      <w:r w:rsidRPr="007E4BAB">
        <w:rPr>
          <w:rFonts w:ascii="Verdana" w:hAnsi="Verdana"/>
          <w:i/>
          <w:spacing w:val="56"/>
          <w:sz w:val="24"/>
          <w:szCs w:val="24"/>
        </w:rPr>
        <w:t xml:space="preserve"> </w:t>
      </w:r>
      <w:r w:rsidRPr="007E4BAB">
        <w:rPr>
          <w:rFonts w:ascii="Verdana" w:hAnsi="Verdana"/>
          <w:i/>
          <w:sz w:val="24"/>
          <w:szCs w:val="24"/>
        </w:rPr>
        <w:t>back</w:t>
      </w:r>
      <w:r w:rsidRPr="007E4BAB">
        <w:rPr>
          <w:rFonts w:ascii="Verdana" w:hAnsi="Verdana"/>
          <w:i/>
          <w:spacing w:val="55"/>
          <w:sz w:val="24"/>
          <w:szCs w:val="24"/>
        </w:rPr>
        <w:t xml:space="preserve"> </w:t>
      </w:r>
      <w:r w:rsidRPr="007E4BAB">
        <w:rPr>
          <w:rFonts w:ascii="Verdana" w:hAnsi="Verdana"/>
          <w:i/>
          <w:sz w:val="24"/>
          <w:szCs w:val="24"/>
        </w:rPr>
        <w:t>in</w:t>
      </w:r>
      <w:r w:rsidRPr="007E4BAB">
        <w:rPr>
          <w:rFonts w:ascii="Verdana" w:hAnsi="Verdana"/>
          <w:i/>
          <w:spacing w:val="55"/>
          <w:sz w:val="24"/>
          <w:szCs w:val="24"/>
        </w:rPr>
        <w:t xml:space="preserve"> </w:t>
      </w:r>
      <w:r w:rsidRPr="007E4BAB">
        <w:rPr>
          <w:rFonts w:ascii="Verdana" w:hAnsi="Verdana"/>
          <w:i/>
          <w:sz w:val="24"/>
          <w:szCs w:val="24"/>
        </w:rPr>
        <w:lastRenderedPageBreak/>
        <w:t>time</w:t>
      </w:r>
      <w:r w:rsidRPr="007E4BAB">
        <w:rPr>
          <w:rFonts w:ascii="Verdana" w:hAnsi="Verdana"/>
          <w:i/>
          <w:spacing w:val="55"/>
          <w:sz w:val="24"/>
          <w:szCs w:val="24"/>
        </w:rPr>
        <w:t xml:space="preserve"> </w:t>
      </w:r>
      <w:r w:rsidRPr="007E4BAB">
        <w:rPr>
          <w:rFonts w:ascii="Verdana" w:hAnsi="Verdana"/>
          <w:i/>
          <w:sz w:val="24"/>
          <w:szCs w:val="24"/>
        </w:rPr>
        <w:t>to</w:t>
      </w:r>
      <w:r w:rsidRPr="007E4BAB">
        <w:rPr>
          <w:rFonts w:ascii="Verdana" w:hAnsi="Verdana"/>
          <w:i/>
          <w:spacing w:val="56"/>
          <w:sz w:val="24"/>
          <w:szCs w:val="24"/>
        </w:rPr>
        <w:t xml:space="preserve"> </w:t>
      </w:r>
      <w:r w:rsidRPr="007E4BAB">
        <w:rPr>
          <w:rFonts w:ascii="Verdana" w:hAnsi="Verdana"/>
          <w:i/>
          <w:sz w:val="24"/>
          <w:szCs w:val="24"/>
        </w:rPr>
        <w:t>their original date when such notices were to be issued and the new Section 149 of the Act is to be applied at that point</w:t>
      </w:r>
      <w:r w:rsidRPr="007E4BAB">
        <w:rPr>
          <w:rFonts w:ascii="Verdana" w:hAnsi="Verdana"/>
          <w:sz w:val="24"/>
          <w:szCs w:val="24"/>
        </w:rPr>
        <w:t>.” (</w:t>
      </w:r>
      <w:proofErr w:type="gramStart"/>
      <w:r w:rsidRPr="007E4BAB">
        <w:rPr>
          <w:rFonts w:ascii="Verdana" w:hAnsi="Verdana"/>
          <w:sz w:val="24"/>
          <w:szCs w:val="24"/>
        </w:rPr>
        <w:t>emphasis</w:t>
      </w:r>
      <w:proofErr w:type="gramEnd"/>
      <w:r w:rsidRPr="007E4BAB">
        <w:rPr>
          <w:rFonts w:ascii="Verdana" w:hAnsi="Verdana"/>
          <w:sz w:val="24"/>
          <w:szCs w:val="24"/>
        </w:rPr>
        <w:t xml:space="preserve"> supplied).</w:t>
      </w:r>
    </w:p>
    <w:p w14:paraId="7DC5F221" w14:textId="77777777" w:rsidR="00156EE1" w:rsidRPr="007E4BAB" w:rsidRDefault="00156EE1" w:rsidP="00E4675F">
      <w:pPr>
        <w:pStyle w:val="ListParagraph"/>
        <w:widowControl w:val="0"/>
        <w:numPr>
          <w:ilvl w:val="1"/>
          <w:numId w:val="8"/>
        </w:numPr>
        <w:tabs>
          <w:tab w:val="left" w:pos="3756"/>
        </w:tabs>
        <w:autoSpaceDE w:val="0"/>
        <w:autoSpaceDN w:val="0"/>
        <w:spacing w:before="203" w:after="0" w:line="360" w:lineRule="auto"/>
        <w:ind w:right="115"/>
        <w:contextualSpacing w:val="0"/>
        <w:jc w:val="both"/>
        <w:rPr>
          <w:rFonts w:ascii="Verdana" w:hAnsi="Verdana"/>
          <w:strike/>
          <w:sz w:val="24"/>
          <w:szCs w:val="24"/>
        </w:rPr>
      </w:pPr>
      <w:r w:rsidRPr="007E4BAB">
        <w:rPr>
          <w:rFonts w:ascii="Verdana" w:hAnsi="Verdana"/>
          <w:sz w:val="24"/>
          <w:szCs w:val="24"/>
        </w:rPr>
        <w:t>Based on such understanding, in para 6.1, it is stated in Para 6.2 that for A.Y.2013-14, A.Y.2014-15 and A.Y.2015-16. Fresh notice under Section 148 of the Act can be issued in these cases, with the approval of the specified authority, only if the case falls under clause (</w:t>
      </w:r>
      <w:r w:rsidRPr="007E4BAB">
        <w:rPr>
          <w:rFonts w:ascii="Verdana" w:hAnsi="Verdana"/>
          <w:i/>
          <w:iCs/>
          <w:sz w:val="24"/>
          <w:szCs w:val="24"/>
        </w:rPr>
        <w:t>b</w:t>
      </w:r>
      <w:r w:rsidRPr="007E4BAB">
        <w:rPr>
          <w:rFonts w:ascii="Verdana" w:hAnsi="Verdana"/>
          <w:sz w:val="24"/>
          <w:szCs w:val="24"/>
        </w:rPr>
        <w:t>) of sub-Section (I) of Section 149 as amended by the Finance Act, 2021 and reproduced in paragraph 6.1 above. Specified authority under Section 151 of the new law in this case shall be the authority prescribed under clause (</w:t>
      </w:r>
      <w:r w:rsidRPr="007E4BAB">
        <w:rPr>
          <w:rFonts w:ascii="Verdana" w:hAnsi="Verdana"/>
          <w:i/>
          <w:iCs/>
          <w:sz w:val="24"/>
          <w:szCs w:val="24"/>
        </w:rPr>
        <w:t>ii</w:t>
      </w:r>
      <w:r w:rsidRPr="007E4BAB">
        <w:rPr>
          <w:rFonts w:ascii="Verdana" w:hAnsi="Verdana"/>
          <w:sz w:val="24"/>
          <w:szCs w:val="24"/>
        </w:rPr>
        <w:t>) of that Section.</w:t>
      </w:r>
    </w:p>
    <w:p w14:paraId="2DE6DE84" w14:textId="77777777" w:rsidR="00156EE1" w:rsidRPr="007E4BAB" w:rsidRDefault="00156EE1" w:rsidP="00E4675F">
      <w:pPr>
        <w:pStyle w:val="ListParagraph"/>
        <w:tabs>
          <w:tab w:val="left" w:pos="3756"/>
        </w:tabs>
        <w:spacing w:line="360" w:lineRule="auto"/>
        <w:ind w:left="1440"/>
        <w:rPr>
          <w:rFonts w:ascii="Verdana" w:hAnsi="Verdana"/>
          <w:strike/>
          <w:sz w:val="24"/>
          <w:szCs w:val="24"/>
        </w:rPr>
      </w:pPr>
    </w:p>
    <w:p w14:paraId="0CF3319E" w14:textId="77777777" w:rsidR="00156EE1" w:rsidRPr="007E4BAB" w:rsidRDefault="00156EE1" w:rsidP="00E4675F">
      <w:pPr>
        <w:pStyle w:val="ListParagraph"/>
        <w:widowControl w:val="0"/>
        <w:numPr>
          <w:ilvl w:val="0"/>
          <w:numId w:val="6"/>
        </w:numPr>
        <w:autoSpaceDE w:val="0"/>
        <w:autoSpaceDN w:val="0"/>
        <w:spacing w:after="0" w:line="360" w:lineRule="auto"/>
        <w:ind w:right="115"/>
        <w:jc w:val="both"/>
        <w:rPr>
          <w:rFonts w:ascii="Verdana" w:hAnsi="Verdana"/>
          <w:sz w:val="24"/>
          <w:szCs w:val="24"/>
        </w:rPr>
      </w:pPr>
      <w:r w:rsidRPr="007E4BAB">
        <w:rPr>
          <w:rFonts w:ascii="Verdana" w:hAnsi="Verdana"/>
          <w:sz w:val="24"/>
          <w:szCs w:val="24"/>
        </w:rPr>
        <w:t xml:space="preserve">The Assessee states that the Provisions of Taxation and Other Laws (Relaxation and Amendment of Certain Provisions) Act, 2020 (Herein referred to as ‘TOLA’) will not apply to the case of the Assessee, as even though TOLA Act, 2020 was in existence when the Finance Act, 2021 was passed, the parliament has specifically made the amended provisions of Sections 147 to 151 as being applicable with effect from 01/04/2021. Therefore, the intention of the legislature is clear that substituted provisions must apply to Notices issued with effect from 01/04/2021. No savings clause has been provided in the Act for saving the erstwhile provisions of Sections 147 to 151, like in Section 297, the Parliament when it intended, has specifically provided the savings clause. A plain reading of TOLA Act, 2020 it is clear that the only powers granted to the Central Government by TOLA Act, 2020 is the power to notify the period during which actions are required to be taken that can fall within the ambit of TOLA Act, 2020, and the power to extend the time limit within which those actions are to be taken. It is further submitted by the Assessee that it is well settled principle </w:t>
      </w:r>
      <w:r w:rsidRPr="007E4BAB">
        <w:rPr>
          <w:rFonts w:ascii="Verdana" w:hAnsi="Verdana"/>
          <w:sz w:val="24"/>
          <w:szCs w:val="24"/>
        </w:rPr>
        <w:lastRenderedPageBreak/>
        <w:t xml:space="preserve">of law that the special statute overrides the general statute. While TOLA is a general Statute, Finance Act and Income tax Act are special statutes. Thus, when there is an apparent conflict between two independent provisions of law, the special provision must prevail. </w:t>
      </w:r>
    </w:p>
    <w:p w14:paraId="68C32EB2" w14:textId="77777777" w:rsidR="00156EE1" w:rsidRPr="007E4BAB" w:rsidRDefault="00156EE1" w:rsidP="00E4675F">
      <w:pPr>
        <w:pStyle w:val="ListParagraph"/>
        <w:tabs>
          <w:tab w:val="left" w:pos="1955"/>
        </w:tabs>
        <w:spacing w:line="360" w:lineRule="auto"/>
        <w:ind w:right="114"/>
        <w:rPr>
          <w:rFonts w:ascii="Verdana" w:hAnsi="Verdana"/>
          <w:sz w:val="24"/>
          <w:szCs w:val="24"/>
        </w:rPr>
      </w:pPr>
    </w:p>
    <w:p w14:paraId="22E35AA0" w14:textId="77777777" w:rsidR="00156EE1" w:rsidRPr="007E4BAB" w:rsidRDefault="00156EE1" w:rsidP="00E4675F">
      <w:pPr>
        <w:pStyle w:val="ListParagraph"/>
        <w:widowControl w:val="0"/>
        <w:numPr>
          <w:ilvl w:val="0"/>
          <w:numId w:val="6"/>
        </w:numPr>
        <w:tabs>
          <w:tab w:val="left" w:pos="1955"/>
        </w:tabs>
        <w:autoSpaceDE w:val="0"/>
        <w:autoSpaceDN w:val="0"/>
        <w:spacing w:after="0" w:line="360" w:lineRule="auto"/>
        <w:ind w:right="114"/>
        <w:jc w:val="both"/>
        <w:rPr>
          <w:rFonts w:ascii="Verdana" w:hAnsi="Verdana"/>
          <w:sz w:val="24"/>
          <w:szCs w:val="24"/>
        </w:rPr>
      </w:pPr>
      <w:r w:rsidRPr="007E4BAB">
        <w:rPr>
          <w:rFonts w:ascii="Verdana" w:hAnsi="Verdana"/>
          <w:sz w:val="24"/>
          <w:szCs w:val="24"/>
        </w:rPr>
        <w:t xml:space="preserve">The Assessee states that to the extent of Para No.6.1, 6.2 and Para No.7, the Instruction No.1 of 2022 dated 11/05/2022 issued by the CBDT are legal, which are not in conformity with the judgment of the Hon’ble Apex Court in the case of </w:t>
      </w:r>
      <w:r w:rsidRPr="007E4BAB">
        <w:rPr>
          <w:rFonts w:ascii="Verdana" w:hAnsi="Verdana"/>
          <w:b/>
          <w:sz w:val="24"/>
          <w:szCs w:val="24"/>
        </w:rPr>
        <w:t xml:space="preserve">UOI V/s. Ashish Agarwal (supra). </w:t>
      </w:r>
      <w:r w:rsidRPr="007E4BAB">
        <w:rPr>
          <w:rFonts w:ascii="Verdana" w:hAnsi="Verdana"/>
          <w:sz w:val="24"/>
          <w:szCs w:val="24"/>
        </w:rPr>
        <w:t xml:space="preserve">The Assessee states that the Hon’ble Apex court has specifically stated that in Paragraph 10 (iv) that all the </w:t>
      </w:r>
      <w:proofErr w:type="spellStart"/>
      <w:r w:rsidRPr="007E4BAB">
        <w:rPr>
          <w:rFonts w:ascii="Verdana" w:hAnsi="Verdana"/>
          <w:sz w:val="24"/>
          <w:szCs w:val="24"/>
        </w:rPr>
        <w:t>defenses</w:t>
      </w:r>
      <w:proofErr w:type="spellEnd"/>
      <w:r w:rsidRPr="007E4BAB">
        <w:rPr>
          <w:rFonts w:ascii="Verdana" w:hAnsi="Verdana"/>
          <w:sz w:val="24"/>
          <w:szCs w:val="24"/>
        </w:rPr>
        <w:t xml:space="preserve"> which may be available to the Assesses including those available under Section 149 of the Act and all the rights and contentions may be available to the Assesses and Revenue under Finance Act, 2021 and in law shall continue to remain available. The CBDT has come out with a Circular/Notification on erroneous interpretation of the judgment of Hon’ble Apex Court in the case of </w:t>
      </w:r>
      <w:r w:rsidRPr="007E4BAB">
        <w:rPr>
          <w:rFonts w:ascii="Verdana" w:hAnsi="Verdana"/>
          <w:b/>
          <w:sz w:val="24"/>
          <w:szCs w:val="24"/>
        </w:rPr>
        <w:t xml:space="preserve">UOI V/s. Ashish Agarwal (supra), </w:t>
      </w:r>
      <w:r w:rsidRPr="007E4BAB">
        <w:rPr>
          <w:rFonts w:ascii="Verdana" w:hAnsi="Verdana"/>
          <w:sz w:val="24"/>
          <w:szCs w:val="24"/>
        </w:rPr>
        <w:t>which is not permissible as per well settle principles of law.</w:t>
      </w:r>
    </w:p>
    <w:p w14:paraId="07187E8D" w14:textId="77777777" w:rsidR="00156EE1" w:rsidRPr="007E4BAB" w:rsidRDefault="00156EE1" w:rsidP="00E4675F">
      <w:pPr>
        <w:pStyle w:val="BodyText"/>
        <w:numPr>
          <w:ilvl w:val="0"/>
          <w:numId w:val="6"/>
        </w:numPr>
        <w:spacing w:before="89" w:line="360" w:lineRule="auto"/>
        <w:ind w:right="114"/>
        <w:jc w:val="both"/>
        <w:rPr>
          <w:rFonts w:ascii="Verdana" w:hAnsi="Verdana"/>
          <w:sz w:val="24"/>
          <w:szCs w:val="24"/>
        </w:rPr>
      </w:pPr>
      <w:r w:rsidRPr="007E4BAB">
        <w:rPr>
          <w:rFonts w:ascii="Verdana" w:hAnsi="Verdana"/>
          <w:sz w:val="24"/>
          <w:szCs w:val="24"/>
        </w:rPr>
        <w:t xml:space="preserve">The </w:t>
      </w:r>
      <w:proofErr w:type="spellStart"/>
      <w:r w:rsidRPr="007E4BAB">
        <w:rPr>
          <w:rFonts w:ascii="Verdana" w:hAnsi="Verdana"/>
          <w:sz w:val="24"/>
          <w:szCs w:val="24"/>
        </w:rPr>
        <w:t>Asseess</w:t>
      </w:r>
      <w:proofErr w:type="spellEnd"/>
      <w:r w:rsidRPr="007E4BAB">
        <w:rPr>
          <w:rFonts w:ascii="Verdana" w:hAnsi="Verdana"/>
          <w:sz w:val="24"/>
          <w:szCs w:val="24"/>
        </w:rPr>
        <w:t xml:space="preserve"> states that the impugned Notice under Section 148 of the Act, Order passed under section 148A(d) of the Act dated 30/07/2022, the Show Cause Notice under Section 148A(b) of the Act dated 28/05/2022 and Notice under Section 148 of the Act dated 30/07/2022 are time barred as per first proviso to Section 149(1)(b) of the</w:t>
      </w:r>
      <w:r w:rsidRPr="007E4BAB">
        <w:rPr>
          <w:rFonts w:ascii="Verdana" w:hAnsi="Verdana"/>
          <w:spacing w:val="-3"/>
          <w:sz w:val="24"/>
          <w:szCs w:val="24"/>
        </w:rPr>
        <w:t xml:space="preserve"> </w:t>
      </w:r>
      <w:r w:rsidRPr="007E4BAB">
        <w:rPr>
          <w:rFonts w:ascii="Verdana" w:hAnsi="Verdana"/>
          <w:sz w:val="24"/>
          <w:szCs w:val="24"/>
        </w:rPr>
        <w:t>Act. In the Finance Bill, 2021, the Hon'ble Finance Minister proposed sweeping changes in so far as</w:t>
      </w:r>
      <w:r w:rsidRPr="007E4BAB">
        <w:rPr>
          <w:rFonts w:ascii="Verdana" w:hAnsi="Verdana"/>
          <w:spacing w:val="65"/>
          <w:sz w:val="24"/>
          <w:szCs w:val="24"/>
        </w:rPr>
        <w:t xml:space="preserve"> </w:t>
      </w:r>
      <w:r w:rsidRPr="007E4BAB">
        <w:rPr>
          <w:rFonts w:ascii="Verdana" w:hAnsi="Verdana"/>
          <w:sz w:val="24"/>
          <w:szCs w:val="24"/>
        </w:rPr>
        <w:t xml:space="preserve">the reassessment provisions are concerned, in as much as she proposed to introduce a completely new scheme with new jurisdictional requirements, new procedures and new time limits. In the Explanatory Memorandum to Finance Bill, 2021, it is stated that now the Department is driven by information received from third parties </w:t>
      </w:r>
      <w:r w:rsidRPr="007E4BAB">
        <w:rPr>
          <w:rFonts w:ascii="Verdana" w:hAnsi="Verdana"/>
          <w:sz w:val="24"/>
          <w:szCs w:val="24"/>
        </w:rPr>
        <w:lastRenderedPageBreak/>
        <w:t>and that there is a need to completely reform the system of assessment or re-assessment which will result in less litigation and would provide ease of doing business to taxpayers. The Hon’ble Finance Minister in her Budget Speech had stated that “</w:t>
      </w:r>
      <w:r w:rsidRPr="007E4BAB">
        <w:rPr>
          <w:rFonts w:ascii="Verdana" w:hAnsi="Verdana"/>
          <w:i/>
          <w:sz w:val="24"/>
          <w:szCs w:val="24"/>
        </w:rPr>
        <w:t>I therefore propose to reduce this time-limit for re-opening of assessment to 3 years from the present 6 years. In serious tax evasion cases too, only where there is evidence of concealment of income of Rs.50 Lakh or more in a year, can the assessment be re-opened up to 10 years. Even this reopening can be done only after the approval of the Principal Chief Commissioner, the highest level of the Income Tax Department</w:t>
      </w:r>
      <w:r w:rsidRPr="007E4BAB">
        <w:rPr>
          <w:rFonts w:ascii="Verdana" w:hAnsi="Verdana"/>
          <w:sz w:val="24"/>
          <w:szCs w:val="24"/>
        </w:rPr>
        <w:t>.” Thus,</w:t>
      </w:r>
      <w:r w:rsidRPr="007E4BAB">
        <w:rPr>
          <w:rFonts w:ascii="Verdana" w:hAnsi="Verdana"/>
          <w:spacing w:val="24"/>
          <w:sz w:val="24"/>
          <w:szCs w:val="24"/>
        </w:rPr>
        <w:t xml:space="preserve"> </w:t>
      </w:r>
      <w:r w:rsidRPr="007E4BAB">
        <w:rPr>
          <w:rFonts w:ascii="Verdana" w:hAnsi="Verdana"/>
          <w:sz w:val="24"/>
          <w:szCs w:val="24"/>
        </w:rPr>
        <w:t>vide</w:t>
      </w:r>
      <w:r w:rsidRPr="007E4BAB">
        <w:rPr>
          <w:rFonts w:ascii="Verdana" w:hAnsi="Verdana"/>
          <w:spacing w:val="25"/>
          <w:sz w:val="24"/>
          <w:szCs w:val="24"/>
        </w:rPr>
        <w:t xml:space="preserve"> </w:t>
      </w:r>
      <w:r w:rsidRPr="007E4BAB">
        <w:rPr>
          <w:rFonts w:ascii="Verdana" w:hAnsi="Verdana"/>
          <w:sz w:val="24"/>
          <w:szCs w:val="24"/>
        </w:rPr>
        <w:t>Finance</w:t>
      </w:r>
      <w:r w:rsidRPr="007E4BAB">
        <w:rPr>
          <w:rFonts w:ascii="Verdana" w:hAnsi="Verdana"/>
          <w:spacing w:val="23"/>
          <w:sz w:val="24"/>
          <w:szCs w:val="24"/>
        </w:rPr>
        <w:t xml:space="preserve"> </w:t>
      </w:r>
      <w:r w:rsidRPr="007E4BAB">
        <w:rPr>
          <w:rFonts w:ascii="Verdana" w:hAnsi="Verdana"/>
          <w:sz w:val="24"/>
          <w:szCs w:val="24"/>
        </w:rPr>
        <w:t>Act,</w:t>
      </w:r>
      <w:r w:rsidRPr="007E4BAB">
        <w:rPr>
          <w:rFonts w:ascii="Verdana" w:hAnsi="Verdana"/>
          <w:spacing w:val="25"/>
          <w:sz w:val="24"/>
          <w:szCs w:val="24"/>
        </w:rPr>
        <w:t xml:space="preserve"> </w:t>
      </w:r>
      <w:r w:rsidRPr="007E4BAB">
        <w:rPr>
          <w:rFonts w:ascii="Verdana" w:hAnsi="Verdana"/>
          <w:sz w:val="24"/>
          <w:szCs w:val="24"/>
        </w:rPr>
        <w:t>2021,</w:t>
      </w:r>
      <w:r w:rsidRPr="007E4BAB">
        <w:rPr>
          <w:rFonts w:ascii="Verdana" w:hAnsi="Verdana"/>
          <w:spacing w:val="25"/>
          <w:sz w:val="24"/>
          <w:szCs w:val="24"/>
        </w:rPr>
        <w:t xml:space="preserve"> </w:t>
      </w:r>
      <w:r w:rsidRPr="007E4BAB">
        <w:rPr>
          <w:rFonts w:ascii="Verdana" w:hAnsi="Verdana"/>
          <w:sz w:val="24"/>
          <w:szCs w:val="24"/>
        </w:rPr>
        <w:t>the</w:t>
      </w:r>
      <w:r w:rsidRPr="007E4BAB">
        <w:rPr>
          <w:rFonts w:ascii="Verdana" w:hAnsi="Verdana"/>
          <w:spacing w:val="25"/>
          <w:sz w:val="24"/>
          <w:szCs w:val="24"/>
        </w:rPr>
        <w:t xml:space="preserve"> </w:t>
      </w:r>
      <w:r w:rsidRPr="007E4BAB">
        <w:rPr>
          <w:rFonts w:ascii="Verdana" w:hAnsi="Verdana"/>
          <w:sz w:val="24"/>
          <w:szCs w:val="24"/>
        </w:rPr>
        <w:t>entire</w:t>
      </w:r>
      <w:r w:rsidRPr="007E4BAB">
        <w:rPr>
          <w:rFonts w:ascii="Verdana" w:hAnsi="Verdana"/>
          <w:spacing w:val="23"/>
          <w:sz w:val="24"/>
          <w:szCs w:val="24"/>
        </w:rPr>
        <w:t xml:space="preserve"> </w:t>
      </w:r>
      <w:r w:rsidRPr="007E4BAB">
        <w:rPr>
          <w:rFonts w:ascii="Verdana" w:hAnsi="Verdana"/>
          <w:sz w:val="24"/>
          <w:szCs w:val="24"/>
        </w:rPr>
        <w:t>scheme</w:t>
      </w:r>
      <w:r w:rsidRPr="007E4BAB">
        <w:rPr>
          <w:rFonts w:ascii="Verdana" w:hAnsi="Verdana"/>
          <w:spacing w:val="25"/>
          <w:sz w:val="24"/>
          <w:szCs w:val="24"/>
        </w:rPr>
        <w:t xml:space="preserve"> </w:t>
      </w:r>
      <w:r w:rsidRPr="007E4BAB">
        <w:rPr>
          <w:rFonts w:ascii="Verdana" w:hAnsi="Verdana"/>
          <w:sz w:val="24"/>
          <w:szCs w:val="24"/>
        </w:rPr>
        <w:t xml:space="preserve">of re-assessment under the Act was replaced by a completely new scheme. The said new scheme is applicable w.e.f. 01/4/2021. The same has been held by various High Courts including this Hon’ble Court. There are several new jurisdictional requirements prescribed in Section 147, 148, 148A, 149 and 151 of the Act as amended by Finance Act, 2021. The Assessee states that the </w:t>
      </w:r>
      <w:proofErr w:type="spellStart"/>
      <w:r w:rsidRPr="007E4BAB">
        <w:rPr>
          <w:rFonts w:ascii="Verdana" w:hAnsi="Verdana"/>
          <w:sz w:val="24"/>
          <w:szCs w:val="24"/>
        </w:rPr>
        <w:t>Assesssing</w:t>
      </w:r>
      <w:proofErr w:type="spellEnd"/>
      <w:r w:rsidRPr="007E4BAB">
        <w:rPr>
          <w:rFonts w:ascii="Verdana" w:hAnsi="Verdana"/>
          <w:sz w:val="24"/>
          <w:szCs w:val="24"/>
        </w:rPr>
        <w:t xml:space="preserve"> </w:t>
      </w:r>
      <w:proofErr w:type="spellStart"/>
      <w:r w:rsidRPr="007E4BAB">
        <w:rPr>
          <w:rFonts w:ascii="Verdana" w:hAnsi="Verdana"/>
          <w:sz w:val="24"/>
          <w:szCs w:val="24"/>
        </w:rPr>
        <w:t>officerissued</w:t>
      </w:r>
      <w:proofErr w:type="spellEnd"/>
      <w:r w:rsidRPr="007E4BAB">
        <w:rPr>
          <w:rFonts w:ascii="Verdana" w:hAnsi="Verdana"/>
          <w:sz w:val="24"/>
          <w:szCs w:val="24"/>
        </w:rPr>
        <w:t xml:space="preserve"> the impugned Order under Section 148A(d) and Impugned Notice under Section 148 of the Act in violation to first Proviso to Section 149(1)(b) of the Act. </w:t>
      </w:r>
    </w:p>
    <w:p w14:paraId="51BB9334" w14:textId="77777777" w:rsidR="00156EE1" w:rsidRDefault="00156EE1" w:rsidP="00E4675F">
      <w:pPr>
        <w:pStyle w:val="ListParagraph"/>
        <w:widowControl w:val="0"/>
        <w:numPr>
          <w:ilvl w:val="0"/>
          <w:numId w:val="6"/>
        </w:numPr>
        <w:tabs>
          <w:tab w:val="left" w:pos="3756"/>
        </w:tabs>
        <w:autoSpaceDE w:val="0"/>
        <w:autoSpaceDN w:val="0"/>
        <w:spacing w:before="203" w:after="0" w:line="360" w:lineRule="auto"/>
        <w:ind w:right="115"/>
        <w:contextualSpacing w:val="0"/>
        <w:jc w:val="both"/>
        <w:rPr>
          <w:rFonts w:ascii="Verdana" w:hAnsi="Verdana"/>
          <w:sz w:val="24"/>
          <w:szCs w:val="24"/>
        </w:rPr>
      </w:pPr>
      <w:r w:rsidRPr="007E4BAB">
        <w:rPr>
          <w:rFonts w:ascii="Verdana" w:hAnsi="Verdana"/>
          <w:sz w:val="24"/>
          <w:szCs w:val="24"/>
        </w:rPr>
        <w:t xml:space="preserve">The Assessee states that the Hon’ble Apex Court has specifically stated that in Paragraph 10 (iv) that all the </w:t>
      </w:r>
      <w:proofErr w:type="spellStart"/>
      <w:r w:rsidRPr="007E4BAB">
        <w:rPr>
          <w:rFonts w:ascii="Verdana" w:hAnsi="Verdana"/>
          <w:sz w:val="24"/>
          <w:szCs w:val="24"/>
        </w:rPr>
        <w:t>defenses</w:t>
      </w:r>
      <w:proofErr w:type="spellEnd"/>
      <w:r w:rsidRPr="007E4BAB">
        <w:rPr>
          <w:rFonts w:ascii="Verdana" w:hAnsi="Verdana"/>
          <w:sz w:val="24"/>
          <w:szCs w:val="24"/>
        </w:rPr>
        <w:t xml:space="preserve"> which may be available to the Assesses including those available under Section 149 of the Act and all the rights and contentions may be available to the Assesses and Revenue under Finance Act, 2021 and in law shall continue to remain available. The CBDT has come out with a Circular/Notification on erroneous interpretation of the judgment of Hon’ble Apex Court in the case of </w:t>
      </w:r>
      <w:r w:rsidRPr="007E4BAB">
        <w:rPr>
          <w:rFonts w:ascii="Verdana" w:hAnsi="Verdana"/>
          <w:b/>
          <w:sz w:val="24"/>
          <w:szCs w:val="24"/>
        </w:rPr>
        <w:t xml:space="preserve">UOI V/s. Ashish Agarwal (supra), </w:t>
      </w:r>
      <w:r w:rsidRPr="007E4BAB">
        <w:rPr>
          <w:rFonts w:ascii="Verdana" w:hAnsi="Verdana"/>
          <w:sz w:val="24"/>
          <w:szCs w:val="24"/>
        </w:rPr>
        <w:t>which is not permissible as per well settle principles of law.</w:t>
      </w:r>
    </w:p>
    <w:p w14:paraId="070C989A" w14:textId="77777777" w:rsidR="009A2A54" w:rsidRPr="007E4BAB" w:rsidRDefault="009A2A54" w:rsidP="009A2A54">
      <w:pPr>
        <w:pStyle w:val="ListParagraph"/>
        <w:widowControl w:val="0"/>
        <w:tabs>
          <w:tab w:val="left" w:pos="3756"/>
        </w:tabs>
        <w:autoSpaceDE w:val="0"/>
        <w:autoSpaceDN w:val="0"/>
        <w:spacing w:before="203" w:after="0" w:line="360" w:lineRule="auto"/>
        <w:ind w:right="115"/>
        <w:contextualSpacing w:val="0"/>
        <w:jc w:val="both"/>
        <w:rPr>
          <w:rFonts w:ascii="Verdana" w:hAnsi="Verdana"/>
          <w:sz w:val="24"/>
          <w:szCs w:val="24"/>
        </w:rPr>
      </w:pPr>
    </w:p>
    <w:p w14:paraId="4B6CA3D4" w14:textId="77777777" w:rsidR="009E0531" w:rsidRPr="009E0531" w:rsidRDefault="00156EE1" w:rsidP="00CE296C">
      <w:pPr>
        <w:pStyle w:val="ListParagraph"/>
        <w:widowControl w:val="0"/>
        <w:numPr>
          <w:ilvl w:val="0"/>
          <w:numId w:val="3"/>
        </w:numPr>
        <w:tabs>
          <w:tab w:val="left" w:pos="3756"/>
        </w:tabs>
        <w:autoSpaceDE w:val="0"/>
        <w:autoSpaceDN w:val="0"/>
        <w:spacing w:before="203" w:after="0" w:line="360" w:lineRule="auto"/>
        <w:ind w:right="115"/>
        <w:contextualSpacing w:val="0"/>
        <w:jc w:val="both"/>
        <w:rPr>
          <w:rFonts w:ascii="Verdana" w:hAnsi="Verdana"/>
          <w:sz w:val="24"/>
          <w:szCs w:val="24"/>
        </w:rPr>
      </w:pPr>
      <w:r w:rsidRPr="009E0531">
        <w:rPr>
          <w:rFonts w:ascii="Verdana" w:hAnsi="Verdana"/>
          <w:b/>
          <w:bCs/>
          <w:color w:val="FF0000"/>
          <w:sz w:val="24"/>
          <w:szCs w:val="24"/>
          <w:u w:val="single"/>
        </w:rPr>
        <w:lastRenderedPageBreak/>
        <w:t>A</w:t>
      </w:r>
      <w:r w:rsidR="009E0531" w:rsidRPr="009E0531">
        <w:rPr>
          <w:rFonts w:ascii="Verdana" w:hAnsi="Verdana"/>
          <w:b/>
          <w:bCs/>
          <w:color w:val="FF0000"/>
          <w:sz w:val="24"/>
          <w:szCs w:val="24"/>
          <w:u w:val="single"/>
        </w:rPr>
        <w:t xml:space="preserve">pproval Granted under section 151 is Bad in Law </w:t>
      </w:r>
    </w:p>
    <w:p w14:paraId="5A62CD59" w14:textId="26133F35" w:rsidR="00156EE1" w:rsidRPr="009E0531" w:rsidRDefault="00156EE1" w:rsidP="009E0531">
      <w:pPr>
        <w:pStyle w:val="ListParagraph"/>
        <w:widowControl w:val="0"/>
        <w:tabs>
          <w:tab w:val="left" w:pos="3756"/>
        </w:tabs>
        <w:autoSpaceDE w:val="0"/>
        <w:autoSpaceDN w:val="0"/>
        <w:spacing w:before="203" w:after="0" w:line="360" w:lineRule="auto"/>
        <w:ind w:left="360" w:right="115"/>
        <w:contextualSpacing w:val="0"/>
        <w:jc w:val="both"/>
        <w:rPr>
          <w:rFonts w:ascii="Verdana" w:hAnsi="Verdana"/>
          <w:sz w:val="24"/>
          <w:szCs w:val="24"/>
        </w:rPr>
      </w:pPr>
      <w:r w:rsidRPr="009E0531">
        <w:rPr>
          <w:rFonts w:ascii="Verdana" w:hAnsi="Verdana"/>
          <w:sz w:val="24"/>
          <w:szCs w:val="24"/>
        </w:rPr>
        <w:t xml:space="preserve">The Assessee states and submits the sanction/approval granted by Principal Chief Commissioner of Income Tax under Section 151 of the Act suffers from non- application of mind. The Principal Chief Commissioner of Income Tax has erred by granting approval to an impugned Order under Section 148A(d) of the act and impugned Notice under Section 148 of the Act dated 30/07/2022 when same were time-barred by limitation. The Principal Chief Commissioner of Income Tax has also failed to apply mind to facts of the case and material available on record. It is apparent from record that approval granted by The Principal Chief Commissioner of Income Tax under Section 151 of the Act is in mechanical manner. The Assessee further states that the </w:t>
      </w:r>
      <w:proofErr w:type="spellStart"/>
      <w:r w:rsidRPr="009E0531">
        <w:rPr>
          <w:rFonts w:ascii="Verdana" w:hAnsi="Verdana"/>
          <w:sz w:val="24"/>
          <w:szCs w:val="24"/>
        </w:rPr>
        <w:t>The</w:t>
      </w:r>
      <w:proofErr w:type="spellEnd"/>
      <w:r w:rsidRPr="009E0531">
        <w:rPr>
          <w:rFonts w:ascii="Verdana" w:hAnsi="Verdana"/>
          <w:sz w:val="24"/>
          <w:szCs w:val="24"/>
        </w:rPr>
        <w:t xml:space="preserve"> Principal Chief Commissioner of Income Tax has erred in granting approval to the impugned Order under Section 148A(d) of the Act passed by Assessing officer when the actions of the Assessing officer are in contravention to the directions of the Hon’ble Apex court in</w:t>
      </w:r>
      <w:r w:rsidRPr="009E0531">
        <w:rPr>
          <w:rFonts w:ascii="Verdana" w:hAnsi="Verdana"/>
          <w:b/>
          <w:sz w:val="24"/>
          <w:szCs w:val="24"/>
        </w:rPr>
        <w:t xml:space="preserve"> UOI V/s. Ashish Agarwal (supra). </w:t>
      </w:r>
      <w:r w:rsidRPr="009E0531">
        <w:rPr>
          <w:rFonts w:ascii="Verdana" w:hAnsi="Verdana"/>
          <w:sz w:val="24"/>
          <w:szCs w:val="24"/>
        </w:rPr>
        <w:t xml:space="preserve">The mechanical way of recording satisfaction by the Principal Chief Commissioner of Income Tax, which accords sanction for issuing Notice under Section 148, is clearly unsustainable in eyes of law. </w:t>
      </w:r>
    </w:p>
    <w:p w14:paraId="786B1B15" w14:textId="77777777" w:rsidR="00B52A6E" w:rsidRPr="00C96C1F" w:rsidRDefault="00B52A6E" w:rsidP="00D43E5F">
      <w:pPr>
        <w:pStyle w:val="NormalWeb"/>
        <w:shd w:val="clear" w:color="auto" w:fill="FFFFFF"/>
        <w:spacing w:before="0" w:beforeAutospacing="0" w:after="0" w:afterAutospacing="0" w:line="360" w:lineRule="auto"/>
        <w:ind w:left="360"/>
        <w:jc w:val="both"/>
        <w:rPr>
          <w:rFonts w:ascii="Verdana" w:hAnsi="Verdana"/>
          <w:b/>
          <w:bCs/>
          <w:color w:val="444444"/>
        </w:rPr>
      </w:pPr>
    </w:p>
    <w:p w14:paraId="40EA2457" w14:textId="3CFBB26B" w:rsidR="005D2140" w:rsidRDefault="009D6530" w:rsidP="001C4208">
      <w:pPr>
        <w:pStyle w:val="ListParagraph"/>
        <w:numPr>
          <w:ilvl w:val="0"/>
          <w:numId w:val="3"/>
        </w:numPr>
        <w:autoSpaceDE w:val="0"/>
        <w:autoSpaceDN w:val="0"/>
        <w:adjustRightInd w:val="0"/>
        <w:spacing w:after="0" w:line="360" w:lineRule="auto"/>
        <w:rPr>
          <w:rFonts w:ascii="Verdana" w:hAnsi="Verdana"/>
          <w:b/>
          <w:bCs/>
          <w:color w:val="FF0000"/>
          <w:sz w:val="24"/>
          <w:szCs w:val="24"/>
          <w:lang w:val="en-US"/>
        </w:rPr>
      </w:pPr>
      <w:r>
        <w:rPr>
          <w:rFonts w:ascii="Verdana" w:hAnsi="Verdana"/>
          <w:b/>
          <w:bCs/>
          <w:color w:val="FF0000"/>
          <w:sz w:val="24"/>
          <w:szCs w:val="24"/>
          <w:lang w:val="en-US"/>
        </w:rPr>
        <w:t>Furnish us the statements of Witnesses</w:t>
      </w:r>
    </w:p>
    <w:p w14:paraId="3E88E751" w14:textId="7D344FF6" w:rsidR="009D6530" w:rsidRDefault="00C9433E" w:rsidP="00C9433E">
      <w:pPr>
        <w:pStyle w:val="ListParagraph"/>
        <w:autoSpaceDE w:val="0"/>
        <w:autoSpaceDN w:val="0"/>
        <w:adjustRightInd w:val="0"/>
        <w:spacing w:after="0" w:line="360" w:lineRule="auto"/>
        <w:ind w:left="360"/>
        <w:jc w:val="both"/>
        <w:rPr>
          <w:rFonts w:ascii="Verdana" w:hAnsi="Verdana"/>
          <w:sz w:val="24"/>
          <w:szCs w:val="24"/>
          <w:lang w:val="en-US"/>
        </w:rPr>
      </w:pPr>
      <w:r>
        <w:rPr>
          <w:rFonts w:ascii="Verdana" w:hAnsi="Verdana"/>
          <w:sz w:val="24"/>
          <w:szCs w:val="24"/>
          <w:lang w:val="en-US"/>
        </w:rPr>
        <w:t>We request you to provide the copy of the statements recorded of Shri Jagdish T. Ramani, Shri Ashwin Rathod, Smt. Vibha Sachin Rawate and Shri Shankar Jadhav based on which adverse inference is drawn against the Assessee.</w:t>
      </w:r>
    </w:p>
    <w:p w14:paraId="5A4F363E" w14:textId="77777777" w:rsidR="00B52A6E" w:rsidRDefault="00B52A6E" w:rsidP="00C9433E">
      <w:pPr>
        <w:pStyle w:val="ListParagraph"/>
        <w:autoSpaceDE w:val="0"/>
        <w:autoSpaceDN w:val="0"/>
        <w:adjustRightInd w:val="0"/>
        <w:spacing w:after="0" w:line="360" w:lineRule="auto"/>
        <w:ind w:left="360"/>
        <w:jc w:val="both"/>
        <w:rPr>
          <w:rFonts w:ascii="Verdana" w:hAnsi="Verdana"/>
          <w:sz w:val="24"/>
          <w:szCs w:val="24"/>
          <w:lang w:val="en-US"/>
        </w:rPr>
      </w:pPr>
    </w:p>
    <w:p w14:paraId="6253D46F" w14:textId="77777777" w:rsidR="00DC74EB" w:rsidRDefault="00DC74EB" w:rsidP="00C9433E">
      <w:pPr>
        <w:pStyle w:val="ListParagraph"/>
        <w:autoSpaceDE w:val="0"/>
        <w:autoSpaceDN w:val="0"/>
        <w:adjustRightInd w:val="0"/>
        <w:spacing w:after="0" w:line="360" w:lineRule="auto"/>
        <w:ind w:left="360"/>
        <w:jc w:val="both"/>
        <w:rPr>
          <w:rFonts w:ascii="Verdana" w:hAnsi="Verdana"/>
          <w:sz w:val="24"/>
          <w:szCs w:val="24"/>
          <w:lang w:val="en-US"/>
        </w:rPr>
      </w:pPr>
    </w:p>
    <w:p w14:paraId="1D9CC259" w14:textId="77777777" w:rsidR="00DC74EB" w:rsidRDefault="00DC74EB" w:rsidP="00C9433E">
      <w:pPr>
        <w:pStyle w:val="ListParagraph"/>
        <w:autoSpaceDE w:val="0"/>
        <w:autoSpaceDN w:val="0"/>
        <w:adjustRightInd w:val="0"/>
        <w:spacing w:after="0" w:line="360" w:lineRule="auto"/>
        <w:ind w:left="360"/>
        <w:jc w:val="both"/>
        <w:rPr>
          <w:rFonts w:ascii="Verdana" w:hAnsi="Verdana"/>
          <w:sz w:val="24"/>
          <w:szCs w:val="24"/>
          <w:lang w:val="en-US"/>
        </w:rPr>
      </w:pPr>
    </w:p>
    <w:p w14:paraId="0C257847" w14:textId="77777777" w:rsidR="00DC74EB" w:rsidRDefault="00DC74EB" w:rsidP="00C9433E">
      <w:pPr>
        <w:pStyle w:val="ListParagraph"/>
        <w:autoSpaceDE w:val="0"/>
        <w:autoSpaceDN w:val="0"/>
        <w:adjustRightInd w:val="0"/>
        <w:spacing w:after="0" w:line="360" w:lineRule="auto"/>
        <w:ind w:left="360"/>
        <w:jc w:val="both"/>
        <w:rPr>
          <w:rFonts w:ascii="Verdana" w:hAnsi="Verdana"/>
          <w:sz w:val="24"/>
          <w:szCs w:val="24"/>
          <w:lang w:val="en-US"/>
        </w:rPr>
      </w:pPr>
    </w:p>
    <w:p w14:paraId="24C6D882" w14:textId="77777777" w:rsidR="00DC74EB" w:rsidRDefault="00DC74EB" w:rsidP="00C9433E">
      <w:pPr>
        <w:pStyle w:val="ListParagraph"/>
        <w:autoSpaceDE w:val="0"/>
        <w:autoSpaceDN w:val="0"/>
        <w:adjustRightInd w:val="0"/>
        <w:spacing w:after="0" w:line="360" w:lineRule="auto"/>
        <w:ind w:left="360"/>
        <w:jc w:val="both"/>
        <w:rPr>
          <w:rFonts w:ascii="Verdana" w:hAnsi="Verdana"/>
          <w:sz w:val="24"/>
          <w:szCs w:val="24"/>
          <w:lang w:val="en-US"/>
        </w:rPr>
      </w:pPr>
    </w:p>
    <w:p w14:paraId="0124EE05" w14:textId="4A2D24D0" w:rsidR="003803CE" w:rsidRPr="00647F75" w:rsidRDefault="007F3375" w:rsidP="001C4208">
      <w:pPr>
        <w:pStyle w:val="ListParagraph"/>
        <w:numPr>
          <w:ilvl w:val="0"/>
          <w:numId w:val="3"/>
        </w:numPr>
        <w:autoSpaceDE w:val="0"/>
        <w:autoSpaceDN w:val="0"/>
        <w:adjustRightInd w:val="0"/>
        <w:spacing w:after="0" w:line="360" w:lineRule="auto"/>
        <w:rPr>
          <w:rFonts w:ascii="Verdana" w:hAnsi="Verdana"/>
          <w:b/>
          <w:bCs/>
          <w:color w:val="FF0000"/>
          <w:sz w:val="24"/>
          <w:szCs w:val="24"/>
          <w:lang w:val="en-US"/>
        </w:rPr>
      </w:pPr>
      <w:r w:rsidRPr="00647F75">
        <w:rPr>
          <w:rFonts w:ascii="Verdana" w:hAnsi="Verdana"/>
          <w:b/>
          <w:bCs/>
          <w:color w:val="FF0000"/>
          <w:sz w:val="24"/>
          <w:szCs w:val="24"/>
          <w:lang w:val="en-US"/>
        </w:rPr>
        <w:lastRenderedPageBreak/>
        <w:t xml:space="preserve">Opportunity to </w:t>
      </w:r>
      <w:r w:rsidR="00DB52F2" w:rsidRPr="00647F75">
        <w:rPr>
          <w:rFonts w:ascii="Verdana" w:hAnsi="Verdana"/>
          <w:b/>
          <w:bCs/>
          <w:color w:val="FF0000"/>
          <w:sz w:val="24"/>
          <w:szCs w:val="24"/>
          <w:lang w:val="en-US"/>
        </w:rPr>
        <w:t>Cross Examin</w:t>
      </w:r>
      <w:r w:rsidR="00EA5BD4" w:rsidRPr="00647F75">
        <w:rPr>
          <w:rFonts w:ascii="Verdana" w:hAnsi="Verdana"/>
          <w:b/>
          <w:bCs/>
          <w:color w:val="FF0000"/>
          <w:sz w:val="24"/>
          <w:szCs w:val="24"/>
          <w:lang w:val="en-US"/>
        </w:rPr>
        <w:t>e the Witnesses</w:t>
      </w:r>
    </w:p>
    <w:p w14:paraId="7C44DA3E" w14:textId="3210FB92" w:rsidR="004111FF" w:rsidRPr="00FF6A3E" w:rsidRDefault="004111FF" w:rsidP="004111FF">
      <w:pPr>
        <w:pStyle w:val="ListParagraph"/>
        <w:spacing w:after="160" w:line="360" w:lineRule="auto"/>
        <w:ind w:left="405"/>
        <w:jc w:val="both"/>
        <w:rPr>
          <w:rFonts w:ascii="Verdana" w:hAnsi="Verdana"/>
          <w:sz w:val="24"/>
          <w:szCs w:val="24"/>
        </w:rPr>
      </w:pPr>
      <w:r>
        <w:rPr>
          <w:rFonts w:ascii="Verdana" w:hAnsi="Verdana"/>
          <w:sz w:val="24"/>
          <w:szCs w:val="24"/>
        </w:rPr>
        <w:t>We</w:t>
      </w:r>
      <w:r w:rsidR="00B52A6E">
        <w:rPr>
          <w:rFonts w:ascii="Verdana" w:hAnsi="Verdana"/>
          <w:sz w:val="24"/>
          <w:szCs w:val="24"/>
        </w:rPr>
        <w:t xml:space="preserve"> further</w:t>
      </w:r>
      <w:r>
        <w:rPr>
          <w:rFonts w:ascii="Verdana" w:hAnsi="Verdana"/>
          <w:sz w:val="24"/>
          <w:szCs w:val="24"/>
        </w:rPr>
        <w:t xml:space="preserve"> request you </w:t>
      </w:r>
      <w:r w:rsidR="00242946">
        <w:rPr>
          <w:rFonts w:ascii="Verdana" w:hAnsi="Verdana"/>
          <w:sz w:val="24"/>
          <w:szCs w:val="24"/>
        </w:rPr>
        <w:t>to</w:t>
      </w:r>
      <w:r w:rsidRPr="00FF6A3E">
        <w:rPr>
          <w:rFonts w:ascii="Verdana" w:hAnsi="Verdana"/>
          <w:sz w:val="24"/>
          <w:szCs w:val="24"/>
        </w:rPr>
        <w:t xml:space="preserve"> provide an opportunity to cross-examine following witnesses whose testimony is being relied upon by the Department proposing to draw an adverse inference against</w:t>
      </w:r>
      <w:r w:rsidR="00A3726B">
        <w:rPr>
          <w:rFonts w:ascii="Verdana" w:hAnsi="Verdana"/>
          <w:sz w:val="24"/>
          <w:szCs w:val="24"/>
        </w:rPr>
        <w:t xml:space="preserve"> the assessee </w:t>
      </w:r>
      <w:r w:rsidRPr="00FF6A3E">
        <w:rPr>
          <w:rFonts w:ascii="Verdana" w:hAnsi="Verdana"/>
          <w:sz w:val="24"/>
          <w:szCs w:val="24"/>
        </w:rPr>
        <w:t>are:</w:t>
      </w:r>
    </w:p>
    <w:p w14:paraId="787576F4" w14:textId="77777777" w:rsidR="004111FF" w:rsidRPr="00FF6A3E" w:rsidRDefault="004111FF" w:rsidP="004111FF">
      <w:pPr>
        <w:pStyle w:val="ListParagraph"/>
        <w:numPr>
          <w:ilvl w:val="0"/>
          <w:numId w:val="5"/>
        </w:numPr>
        <w:spacing w:after="160" w:line="360" w:lineRule="auto"/>
        <w:jc w:val="both"/>
        <w:rPr>
          <w:rFonts w:ascii="Verdana" w:hAnsi="Verdana"/>
          <w:sz w:val="24"/>
          <w:szCs w:val="24"/>
        </w:rPr>
      </w:pPr>
      <w:r w:rsidRPr="00FF6A3E">
        <w:rPr>
          <w:rFonts w:ascii="Verdana" w:hAnsi="Verdana"/>
          <w:sz w:val="24"/>
          <w:szCs w:val="24"/>
        </w:rPr>
        <w:t>Shri Nilesh Bharani</w:t>
      </w:r>
    </w:p>
    <w:p w14:paraId="4D61675A" w14:textId="77777777" w:rsidR="004111FF" w:rsidRPr="00FF6A3E" w:rsidRDefault="004111FF" w:rsidP="004111FF">
      <w:pPr>
        <w:pStyle w:val="ListParagraph"/>
        <w:numPr>
          <w:ilvl w:val="0"/>
          <w:numId w:val="5"/>
        </w:numPr>
        <w:spacing w:after="160" w:line="360" w:lineRule="auto"/>
        <w:jc w:val="both"/>
        <w:rPr>
          <w:rFonts w:ascii="Verdana" w:hAnsi="Verdana"/>
          <w:sz w:val="24"/>
          <w:szCs w:val="24"/>
        </w:rPr>
      </w:pPr>
      <w:r w:rsidRPr="00FF6A3E">
        <w:rPr>
          <w:rFonts w:ascii="Verdana" w:hAnsi="Verdana"/>
          <w:sz w:val="24"/>
          <w:szCs w:val="24"/>
        </w:rPr>
        <w:t>Shri Jagdish T. Ramani</w:t>
      </w:r>
    </w:p>
    <w:p w14:paraId="2CC6B326" w14:textId="77777777" w:rsidR="004111FF" w:rsidRPr="00FF6A3E" w:rsidRDefault="004111FF" w:rsidP="004111FF">
      <w:pPr>
        <w:pStyle w:val="ListParagraph"/>
        <w:numPr>
          <w:ilvl w:val="0"/>
          <w:numId w:val="5"/>
        </w:numPr>
        <w:spacing w:after="160" w:line="360" w:lineRule="auto"/>
        <w:jc w:val="both"/>
        <w:rPr>
          <w:rFonts w:ascii="Verdana" w:hAnsi="Verdana"/>
          <w:sz w:val="24"/>
          <w:szCs w:val="24"/>
        </w:rPr>
      </w:pPr>
      <w:r w:rsidRPr="00FF6A3E">
        <w:rPr>
          <w:rFonts w:ascii="Verdana" w:hAnsi="Verdana"/>
          <w:sz w:val="24"/>
          <w:szCs w:val="24"/>
        </w:rPr>
        <w:t xml:space="preserve">Shri Ashwin Rathod </w:t>
      </w:r>
    </w:p>
    <w:p w14:paraId="5DD38F45" w14:textId="77777777" w:rsidR="004111FF" w:rsidRPr="00FF6A3E" w:rsidRDefault="004111FF" w:rsidP="004111FF">
      <w:pPr>
        <w:pStyle w:val="ListParagraph"/>
        <w:numPr>
          <w:ilvl w:val="0"/>
          <w:numId w:val="5"/>
        </w:numPr>
        <w:spacing w:after="160" w:line="360" w:lineRule="auto"/>
        <w:jc w:val="both"/>
        <w:rPr>
          <w:rFonts w:ascii="Verdana" w:hAnsi="Verdana"/>
          <w:sz w:val="24"/>
          <w:szCs w:val="24"/>
        </w:rPr>
      </w:pPr>
      <w:r w:rsidRPr="00FF6A3E">
        <w:rPr>
          <w:rFonts w:ascii="Verdana" w:hAnsi="Verdana"/>
          <w:sz w:val="24"/>
          <w:szCs w:val="24"/>
        </w:rPr>
        <w:t>Smt. Vibha Sachin Rawate</w:t>
      </w:r>
    </w:p>
    <w:p w14:paraId="182C3B70" w14:textId="77777777" w:rsidR="004111FF" w:rsidRDefault="004111FF" w:rsidP="004111FF">
      <w:pPr>
        <w:pStyle w:val="ListParagraph"/>
        <w:numPr>
          <w:ilvl w:val="0"/>
          <w:numId w:val="5"/>
        </w:numPr>
        <w:spacing w:after="160" w:line="360" w:lineRule="auto"/>
        <w:jc w:val="both"/>
        <w:rPr>
          <w:rFonts w:ascii="Verdana" w:hAnsi="Verdana"/>
          <w:sz w:val="24"/>
          <w:szCs w:val="24"/>
        </w:rPr>
      </w:pPr>
      <w:r w:rsidRPr="00FF6A3E">
        <w:rPr>
          <w:rFonts w:ascii="Verdana" w:hAnsi="Verdana"/>
          <w:sz w:val="24"/>
          <w:szCs w:val="24"/>
        </w:rPr>
        <w:t>Shri Shankar Jadhav</w:t>
      </w:r>
    </w:p>
    <w:p w14:paraId="24D8D42D" w14:textId="77777777" w:rsidR="002A0985" w:rsidRDefault="002A0985" w:rsidP="002A0985">
      <w:pPr>
        <w:pStyle w:val="ListParagraph"/>
        <w:spacing w:after="160" w:line="360" w:lineRule="auto"/>
        <w:ind w:left="765"/>
        <w:jc w:val="both"/>
        <w:rPr>
          <w:rFonts w:ascii="Verdana" w:hAnsi="Verdana"/>
          <w:sz w:val="24"/>
          <w:szCs w:val="24"/>
        </w:rPr>
      </w:pPr>
    </w:p>
    <w:p w14:paraId="626F17BA" w14:textId="1C7B04AE" w:rsidR="004A2FA1" w:rsidRPr="007D3739" w:rsidRDefault="004A2FA1" w:rsidP="004A2FA1">
      <w:pPr>
        <w:pStyle w:val="ListParagraph"/>
        <w:numPr>
          <w:ilvl w:val="0"/>
          <w:numId w:val="3"/>
        </w:numPr>
        <w:spacing w:after="160" w:line="360" w:lineRule="auto"/>
        <w:jc w:val="both"/>
        <w:rPr>
          <w:rFonts w:ascii="Verdana" w:hAnsi="Verdana"/>
          <w:b/>
          <w:bCs/>
          <w:color w:val="FF0000"/>
          <w:sz w:val="24"/>
          <w:szCs w:val="24"/>
        </w:rPr>
      </w:pPr>
      <w:r w:rsidRPr="007D3739">
        <w:rPr>
          <w:rFonts w:ascii="Verdana" w:hAnsi="Verdana"/>
          <w:b/>
          <w:bCs/>
          <w:color w:val="FF0000"/>
          <w:sz w:val="24"/>
          <w:szCs w:val="24"/>
        </w:rPr>
        <w:t xml:space="preserve">Primary record </w:t>
      </w:r>
      <w:r w:rsidR="007D3739" w:rsidRPr="007D3739">
        <w:rPr>
          <w:rFonts w:ascii="Verdana" w:hAnsi="Verdana"/>
          <w:b/>
          <w:bCs/>
          <w:color w:val="FF0000"/>
          <w:sz w:val="24"/>
          <w:szCs w:val="24"/>
        </w:rPr>
        <w:t>to be provided</w:t>
      </w:r>
    </w:p>
    <w:p w14:paraId="73F0E458" w14:textId="79130090" w:rsidR="004111FF" w:rsidRDefault="004111FF" w:rsidP="007D3739">
      <w:pPr>
        <w:pStyle w:val="ListParagraph"/>
        <w:spacing w:after="160" w:line="360" w:lineRule="auto"/>
        <w:ind w:left="405"/>
        <w:jc w:val="both"/>
        <w:rPr>
          <w:rFonts w:ascii="Verdana" w:hAnsi="Verdana"/>
          <w:sz w:val="24"/>
          <w:szCs w:val="24"/>
        </w:rPr>
      </w:pPr>
      <w:r w:rsidRPr="00FF6A3E">
        <w:rPr>
          <w:rFonts w:ascii="Verdana" w:hAnsi="Verdana"/>
          <w:sz w:val="24"/>
          <w:szCs w:val="24"/>
        </w:rPr>
        <w:t>The primary record from where information is extracted in the insight portal of the department alleging reflection of</w:t>
      </w:r>
      <w:r w:rsidR="00AF4E4D">
        <w:rPr>
          <w:rFonts w:ascii="Verdana" w:hAnsi="Verdana"/>
          <w:sz w:val="24"/>
          <w:szCs w:val="24"/>
        </w:rPr>
        <w:t xml:space="preserve"> assessee’s</w:t>
      </w:r>
      <w:r w:rsidRPr="00FF6A3E">
        <w:rPr>
          <w:rFonts w:ascii="Verdana" w:hAnsi="Verdana"/>
          <w:sz w:val="24"/>
          <w:szCs w:val="24"/>
        </w:rPr>
        <w:t xml:space="preserve"> name for the alleged transaction may please be provide</w:t>
      </w:r>
      <w:r w:rsidR="006C540F">
        <w:rPr>
          <w:rFonts w:ascii="Verdana" w:hAnsi="Verdana"/>
          <w:sz w:val="24"/>
          <w:szCs w:val="24"/>
        </w:rPr>
        <w:t>.</w:t>
      </w:r>
    </w:p>
    <w:p w14:paraId="1401A505" w14:textId="77777777" w:rsidR="00DC74EB" w:rsidRDefault="00DC74EB" w:rsidP="007D3739">
      <w:pPr>
        <w:pStyle w:val="ListParagraph"/>
        <w:spacing w:after="160" w:line="360" w:lineRule="auto"/>
        <w:ind w:left="405"/>
        <w:jc w:val="both"/>
        <w:rPr>
          <w:rFonts w:ascii="Verdana" w:hAnsi="Verdana"/>
          <w:sz w:val="24"/>
          <w:szCs w:val="24"/>
        </w:rPr>
      </w:pPr>
    </w:p>
    <w:p w14:paraId="2B350D28" w14:textId="22DEE131" w:rsidR="006C020E" w:rsidRPr="001044B6" w:rsidRDefault="001044B6" w:rsidP="00C43D8B">
      <w:pPr>
        <w:pStyle w:val="ListParagraph"/>
        <w:numPr>
          <w:ilvl w:val="0"/>
          <w:numId w:val="3"/>
        </w:numPr>
        <w:spacing w:after="160" w:line="360" w:lineRule="auto"/>
        <w:jc w:val="both"/>
        <w:rPr>
          <w:rFonts w:ascii="Verdana" w:hAnsi="Verdana"/>
          <w:b/>
          <w:bCs/>
          <w:sz w:val="24"/>
          <w:szCs w:val="24"/>
        </w:rPr>
      </w:pPr>
      <w:r w:rsidRPr="001044B6">
        <w:rPr>
          <w:rFonts w:ascii="Verdana" w:hAnsi="Verdana"/>
          <w:b/>
          <w:bCs/>
          <w:color w:val="FF0000"/>
          <w:sz w:val="24"/>
          <w:szCs w:val="24"/>
        </w:rPr>
        <w:t>Automated Allocation in a Faceless Manner not followed</w:t>
      </w:r>
      <w:r w:rsidRPr="001044B6">
        <w:rPr>
          <w:rFonts w:ascii="Verdana" w:hAnsi="Verdana"/>
          <w:b/>
          <w:bCs/>
          <w:sz w:val="24"/>
          <w:szCs w:val="24"/>
        </w:rPr>
        <w:t xml:space="preserve"> </w:t>
      </w:r>
    </w:p>
    <w:p w14:paraId="2EDE571F" w14:textId="4D608FA1" w:rsidR="00676314" w:rsidRDefault="001044B6" w:rsidP="006C020E">
      <w:pPr>
        <w:pStyle w:val="ListParagraph"/>
        <w:spacing w:after="160" w:line="360" w:lineRule="auto"/>
        <w:ind w:left="360"/>
        <w:jc w:val="both"/>
        <w:rPr>
          <w:rFonts w:ascii="Verdana" w:hAnsi="Verdana"/>
          <w:sz w:val="24"/>
          <w:szCs w:val="24"/>
        </w:rPr>
      </w:pPr>
      <w:r>
        <w:rPr>
          <w:rFonts w:ascii="Verdana" w:hAnsi="Verdana"/>
          <w:sz w:val="24"/>
          <w:szCs w:val="24"/>
        </w:rPr>
        <w:t xml:space="preserve">In our reply dated </w:t>
      </w:r>
      <w:r w:rsidR="00CA7430">
        <w:rPr>
          <w:rFonts w:ascii="Verdana" w:hAnsi="Verdana"/>
          <w:sz w:val="24"/>
          <w:szCs w:val="24"/>
        </w:rPr>
        <w:t>February 14</w:t>
      </w:r>
      <w:r w:rsidR="00CA7430" w:rsidRPr="00CA7430">
        <w:rPr>
          <w:rFonts w:ascii="Verdana" w:hAnsi="Verdana"/>
          <w:sz w:val="24"/>
          <w:szCs w:val="24"/>
          <w:vertAlign w:val="superscript"/>
        </w:rPr>
        <w:t>th</w:t>
      </w:r>
      <w:r w:rsidR="00CA7430">
        <w:rPr>
          <w:rFonts w:ascii="Verdana" w:hAnsi="Verdana"/>
          <w:sz w:val="24"/>
          <w:szCs w:val="24"/>
        </w:rPr>
        <w:t>, 2023</w:t>
      </w:r>
      <w:r w:rsidR="002301D5">
        <w:rPr>
          <w:rFonts w:ascii="Verdana" w:hAnsi="Verdana"/>
          <w:sz w:val="24"/>
          <w:szCs w:val="24"/>
        </w:rPr>
        <w:t xml:space="preserve">, point number 3, we had replied </w:t>
      </w:r>
      <w:r w:rsidR="002301D5" w:rsidRPr="002301D5">
        <w:rPr>
          <w:rFonts w:ascii="Verdana" w:hAnsi="Verdana"/>
          <w:i/>
          <w:iCs/>
          <w:sz w:val="24"/>
          <w:szCs w:val="24"/>
        </w:rPr>
        <w:t>“</w:t>
      </w:r>
      <w:r w:rsidR="00676314" w:rsidRPr="002301D5">
        <w:rPr>
          <w:rFonts w:ascii="Verdana" w:hAnsi="Verdana"/>
          <w:i/>
          <w:iCs/>
          <w:sz w:val="24"/>
          <w:szCs w:val="24"/>
        </w:rPr>
        <w:t xml:space="preserve">That as per Notification S.O. 1466(E). dated March 29th, 2022, which is issued in exercise of powers conferred by section 151A of the Income Tax Act, 1961, Notice u/s. 148 can only be issued in faceless manner whereas the impugned notice has not been issued in conformity with this notification S.O. 1466(E) dated March 29th, 2022 which clearly stipulates that Assessment/Re-Assessment under section 147 of the Act and Issuance of Notice u/s. 148 of the Act for the said Purpose shall be through Automated Allocation in a Faceless manner to the extent provided in 148(b) of the Act. </w:t>
      </w:r>
      <w:proofErr w:type="gramStart"/>
      <w:r w:rsidR="00676314" w:rsidRPr="002301D5">
        <w:rPr>
          <w:rFonts w:ascii="Verdana" w:hAnsi="Verdana"/>
          <w:i/>
          <w:iCs/>
          <w:sz w:val="24"/>
          <w:szCs w:val="24"/>
        </w:rPr>
        <w:t>Therefore</w:t>
      </w:r>
      <w:proofErr w:type="gramEnd"/>
      <w:r w:rsidR="00676314" w:rsidRPr="002301D5">
        <w:rPr>
          <w:rFonts w:ascii="Verdana" w:hAnsi="Verdana"/>
          <w:i/>
          <w:iCs/>
          <w:sz w:val="24"/>
          <w:szCs w:val="24"/>
        </w:rPr>
        <w:t xml:space="preserve"> Notice issued is Bad in Law, Illegal and Uncalled For.</w:t>
      </w:r>
      <w:r w:rsidR="002301D5">
        <w:rPr>
          <w:rFonts w:ascii="Verdana" w:hAnsi="Verdana"/>
          <w:i/>
          <w:iCs/>
          <w:sz w:val="24"/>
          <w:szCs w:val="24"/>
        </w:rPr>
        <w:t xml:space="preserve">” </w:t>
      </w:r>
      <w:r w:rsidR="002301D5" w:rsidRPr="002301D5">
        <w:rPr>
          <w:rFonts w:ascii="Verdana" w:hAnsi="Verdana"/>
          <w:sz w:val="24"/>
          <w:szCs w:val="24"/>
        </w:rPr>
        <w:t>No reply is received from you on this objection.</w:t>
      </w:r>
    </w:p>
    <w:p w14:paraId="2DF57053" w14:textId="77777777" w:rsidR="006C540F" w:rsidRDefault="006C540F" w:rsidP="006C020E">
      <w:pPr>
        <w:pStyle w:val="ListParagraph"/>
        <w:spacing w:after="160" w:line="360" w:lineRule="auto"/>
        <w:ind w:left="360"/>
        <w:jc w:val="both"/>
        <w:rPr>
          <w:rFonts w:ascii="Verdana" w:hAnsi="Verdana"/>
          <w:sz w:val="24"/>
          <w:szCs w:val="24"/>
        </w:rPr>
      </w:pPr>
    </w:p>
    <w:p w14:paraId="0B898EE0" w14:textId="77777777" w:rsidR="006C540F" w:rsidRDefault="006C540F" w:rsidP="006C020E">
      <w:pPr>
        <w:pStyle w:val="ListParagraph"/>
        <w:spacing w:after="160" w:line="360" w:lineRule="auto"/>
        <w:ind w:left="360"/>
        <w:jc w:val="both"/>
        <w:rPr>
          <w:rFonts w:ascii="Verdana" w:hAnsi="Verdana"/>
          <w:sz w:val="24"/>
          <w:szCs w:val="24"/>
        </w:rPr>
      </w:pPr>
    </w:p>
    <w:p w14:paraId="671E980C" w14:textId="77777777" w:rsidR="006C540F" w:rsidRPr="002301D5" w:rsidRDefault="006C540F" w:rsidP="006C020E">
      <w:pPr>
        <w:pStyle w:val="ListParagraph"/>
        <w:spacing w:after="160" w:line="360" w:lineRule="auto"/>
        <w:ind w:left="360"/>
        <w:jc w:val="both"/>
        <w:rPr>
          <w:rFonts w:ascii="Verdana" w:hAnsi="Verdana"/>
          <w:i/>
          <w:iCs/>
          <w:sz w:val="24"/>
          <w:szCs w:val="24"/>
        </w:rPr>
      </w:pPr>
    </w:p>
    <w:p w14:paraId="6349A0E6" w14:textId="3404953F" w:rsidR="00FA56A3" w:rsidRPr="00FA56A3" w:rsidRDefault="00184FE3" w:rsidP="00C43D8B">
      <w:pPr>
        <w:pStyle w:val="ListParagraph"/>
        <w:numPr>
          <w:ilvl w:val="0"/>
          <w:numId w:val="3"/>
        </w:numPr>
        <w:spacing w:after="160" w:line="360" w:lineRule="auto"/>
        <w:jc w:val="both"/>
        <w:rPr>
          <w:rFonts w:ascii="Verdana" w:hAnsi="Verdana"/>
          <w:b/>
          <w:bCs/>
          <w:color w:val="FF0000"/>
          <w:sz w:val="24"/>
          <w:szCs w:val="24"/>
        </w:rPr>
      </w:pPr>
      <w:r>
        <w:rPr>
          <w:rFonts w:ascii="Verdana" w:hAnsi="Verdana"/>
          <w:b/>
          <w:bCs/>
          <w:color w:val="FF0000"/>
          <w:sz w:val="24"/>
          <w:szCs w:val="24"/>
        </w:rPr>
        <w:lastRenderedPageBreak/>
        <w:t>Inference drawn is without any Factual Evidence:</w:t>
      </w:r>
    </w:p>
    <w:p w14:paraId="711B00E9" w14:textId="0C72EFBA" w:rsidR="004111FF" w:rsidRDefault="004111FF" w:rsidP="00FA56A3">
      <w:pPr>
        <w:pStyle w:val="ListParagraph"/>
        <w:spacing w:after="160" w:line="360" w:lineRule="auto"/>
        <w:ind w:left="360"/>
        <w:jc w:val="both"/>
        <w:rPr>
          <w:rFonts w:ascii="Verdana" w:hAnsi="Verdana"/>
          <w:sz w:val="24"/>
          <w:szCs w:val="24"/>
        </w:rPr>
      </w:pPr>
      <w:r w:rsidRPr="00FF6A3E">
        <w:rPr>
          <w:rFonts w:ascii="Verdana" w:hAnsi="Verdana"/>
          <w:sz w:val="24"/>
          <w:szCs w:val="24"/>
        </w:rPr>
        <w:t xml:space="preserve">It is stated in item 2 at the page 8 of your notice that the JCIT (OSD) central Circle 4(1), Mumbai has communicated you that </w:t>
      </w:r>
      <w:r w:rsidRPr="002301D5">
        <w:rPr>
          <w:rFonts w:ascii="Verdana" w:hAnsi="Verdana"/>
          <w:b/>
          <w:bCs/>
          <w:sz w:val="24"/>
          <w:szCs w:val="24"/>
        </w:rPr>
        <w:t xml:space="preserve">on the basis of documents found and seized in the premised of M/s Evergreen enterprises it is </w:t>
      </w:r>
      <w:r w:rsidRPr="002301D5">
        <w:rPr>
          <w:rFonts w:ascii="Verdana" w:hAnsi="Verdana"/>
          <w:b/>
          <w:bCs/>
          <w:color w:val="FF0000"/>
          <w:sz w:val="24"/>
          <w:szCs w:val="24"/>
        </w:rPr>
        <w:t xml:space="preserve">established </w:t>
      </w:r>
      <w:r w:rsidRPr="002301D5">
        <w:rPr>
          <w:rFonts w:ascii="Verdana" w:hAnsi="Verdana"/>
          <w:b/>
          <w:bCs/>
          <w:sz w:val="24"/>
          <w:szCs w:val="24"/>
        </w:rPr>
        <w:t xml:space="preserve">that you have advanced Cash Loans </w:t>
      </w:r>
      <w:r w:rsidRPr="00FF6A3E">
        <w:rPr>
          <w:rFonts w:ascii="Verdana" w:hAnsi="Verdana"/>
          <w:sz w:val="24"/>
          <w:szCs w:val="24"/>
        </w:rPr>
        <w:t>to one Mr Nilesh Bharani and further stated in the notice that information downloaded from the Insight portal shows that I have allegedly advanced Cash loan to Shri Nilesh Bharani to the extent of Rs. 50,00,000/-</w:t>
      </w:r>
      <w:r w:rsidR="002301D5">
        <w:rPr>
          <w:rFonts w:ascii="Verdana" w:hAnsi="Verdana"/>
          <w:sz w:val="24"/>
          <w:szCs w:val="24"/>
        </w:rPr>
        <w:t xml:space="preserve"> </w:t>
      </w:r>
      <w:r w:rsidRPr="00C43D8B">
        <w:rPr>
          <w:rFonts w:ascii="Verdana" w:hAnsi="Verdana"/>
          <w:sz w:val="24"/>
          <w:szCs w:val="24"/>
        </w:rPr>
        <w:t>The entire description gives a fairy tale story without any evidence and thus proposed addition is untenable in law.</w:t>
      </w:r>
    </w:p>
    <w:p w14:paraId="76F32BD4" w14:textId="77777777" w:rsidR="00184FE3" w:rsidRDefault="00184FE3" w:rsidP="00FA56A3">
      <w:pPr>
        <w:pStyle w:val="ListParagraph"/>
        <w:spacing w:after="160" w:line="360" w:lineRule="auto"/>
        <w:ind w:left="360"/>
        <w:jc w:val="both"/>
        <w:rPr>
          <w:rFonts w:ascii="Verdana" w:hAnsi="Verdana"/>
          <w:sz w:val="24"/>
          <w:szCs w:val="24"/>
        </w:rPr>
      </w:pPr>
    </w:p>
    <w:p w14:paraId="7837EA69" w14:textId="1E404B10" w:rsidR="004D7486" w:rsidRDefault="00943498" w:rsidP="003533EB">
      <w:pPr>
        <w:pStyle w:val="ListParagraph"/>
        <w:numPr>
          <w:ilvl w:val="0"/>
          <w:numId w:val="3"/>
        </w:numPr>
        <w:spacing w:after="160" w:line="360" w:lineRule="auto"/>
        <w:jc w:val="both"/>
        <w:rPr>
          <w:rFonts w:ascii="Verdana" w:hAnsi="Verdana"/>
          <w:b/>
          <w:bCs/>
          <w:color w:val="FF0000"/>
          <w:sz w:val="24"/>
          <w:szCs w:val="24"/>
        </w:rPr>
      </w:pPr>
      <w:r w:rsidRPr="00486BDF">
        <w:rPr>
          <w:rFonts w:ascii="Verdana" w:hAnsi="Verdana"/>
          <w:b/>
          <w:bCs/>
          <w:color w:val="FF0000"/>
          <w:sz w:val="24"/>
          <w:szCs w:val="24"/>
        </w:rPr>
        <w:t xml:space="preserve">Information w.r.t. Sona </w:t>
      </w:r>
      <w:r w:rsidR="00486BDF" w:rsidRPr="00486BDF">
        <w:rPr>
          <w:rFonts w:ascii="Verdana" w:hAnsi="Verdana"/>
          <w:b/>
          <w:bCs/>
          <w:color w:val="FF0000"/>
          <w:sz w:val="24"/>
          <w:szCs w:val="24"/>
        </w:rPr>
        <w:t>Global Limited</w:t>
      </w:r>
    </w:p>
    <w:p w14:paraId="5DBCF29A" w14:textId="27D540CE" w:rsidR="0038704B" w:rsidRPr="0038704B" w:rsidRDefault="0038704B" w:rsidP="0038704B">
      <w:pPr>
        <w:spacing w:after="160" w:line="360" w:lineRule="auto"/>
        <w:ind w:left="360"/>
        <w:jc w:val="both"/>
        <w:rPr>
          <w:rFonts w:ascii="Verdana" w:hAnsi="Verdana"/>
          <w:sz w:val="24"/>
          <w:szCs w:val="24"/>
        </w:rPr>
      </w:pPr>
      <w:r w:rsidRPr="0038704B">
        <w:rPr>
          <w:rFonts w:ascii="Verdana" w:hAnsi="Verdana"/>
          <w:sz w:val="24"/>
          <w:szCs w:val="24"/>
        </w:rPr>
        <w:t xml:space="preserve">You have mentioned on page 2 last paragraph of the notice that </w:t>
      </w:r>
      <w:r w:rsidRPr="0038704B">
        <w:rPr>
          <w:rFonts w:ascii="Verdana" w:hAnsi="Verdana"/>
          <w:b/>
          <w:bCs/>
          <w:sz w:val="24"/>
          <w:szCs w:val="24"/>
        </w:rPr>
        <w:t>“AO’s Office was in receipt of information from DDIT (</w:t>
      </w:r>
      <w:proofErr w:type="spellStart"/>
      <w:r w:rsidRPr="0038704B">
        <w:rPr>
          <w:rFonts w:ascii="Verdana" w:hAnsi="Verdana"/>
          <w:b/>
          <w:bCs/>
          <w:sz w:val="24"/>
          <w:szCs w:val="24"/>
        </w:rPr>
        <w:t>Inv</w:t>
      </w:r>
      <w:proofErr w:type="spellEnd"/>
      <w:r w:rsidRPr="0038704B">
        <w:rPr>
          <w:rFonts w:ascii="Verdana" w:hAnsi="Verdana"/>
          <w:b/>
          <w:bCs/>
          <w:sz w:val="24"/>
          <w:szCs w:val="24"/>
        </w:rPr>
        <w:t xml:space="preserve">)- Unit-1(1), Mumbai that during the course of survey action under Falcon Project on Kalyan Securities Pvt Ltd and various entities, it was gathered that assessee has booked fictitious profit of Rs.2.02,400/- through the broker XPRO Securities vide using currency derivative profit to convert his profit in terms of </w:t>
      </w:r>
      <w:r w:rsidRPr="00BE4011">
        <w:rPr>
          <w:rFonts w:ascii="Verdana" w:hAnsi="Verdana"/>
          <w:sz w:val="24"/>
          <w:szCs w:val="24"/>
        </w:rPr>
        <w:t>capital gain and also to claim capital gain exemption and evade</w:t>
      </w:r>
      <w:r w:rsidRPr="0038704B">
        <w:rPr>
          <w:rFonts w:ascii="Verdana" w:hAnsi="Verdana"/>
          <w:b/>
          <w:bCs/>
          <w:sz w:val="24"/>
          <w:szCs w:val="24"/>
        </w:rPr>
        <w:t xml:space="preserve">  the taxable income by claiming exemption on capital gain” </w:t>
      </w:r>
      <w:r w:rsidRPr="0038704B">
        <w:rPr>
          <w:rFonts w:ascii="Verdana" w:hAnsi="Verdana"/>
          <w:sz w:val="24"/>
          <w:szCs w:val="24"/>
        </w:rPr>
        <w:t>We request you to the share the information based on which you have come to the alleged conclusion that assessee is a beneficiary who has accepted accommodation entries during FY 2013-14.</w:t>
      </w:r>
    </w:p>
    <w:p w14:paraId="5C5B12E8" w14:textId="3CD06596" w:rsidR="00486BDF" w:rsidRDefault="00486BDF" w:rsidP="00486BDF">
      <w:pPr>
        <w:pStyle w:val="ListParagraph"/>
        <w:spacing w:after="160" w:line="360" w:lineRule="auto"/>
        <w:ind w:left="360"/>
        <w:jc w:val="both"/>
        <w:rPr>
          <w:rFonts w:ascii="Verdana" w:hAnsi="Verdana"/>
          <w:b/>
          <w:bCs/>
          <w:color w:val="FF0000"/>
          <w:sz w:val="24"/>
          <w:szCs w:val="24"/>
        </w:rPr>
      </w:pPr>
    </w:p>
    <w:p w14:paraId="24A2B074" w14:textId="77777777" w:rsidR="001F1ED2" w:rsidRDefault="001F1ED2" w:rsidP="00486BDF">
      <w:pPr>
        <w:pStyle w:val="ListParagraph"/>
        <w:spacing w:after="160" w:line="360" w:lineRule="auto"/>
        <w:ind w:left="360"/>
        <w:jc w:val="both"/>
        <w:rPr>
          <w:rFonts w:ascii="Verdana" w:hAnsi="Verdana"/>
          <w:b/>
          <w:bCs/>
          <w:color w:val="FF0000"/>
          <w:sz w:val="24"/>
          <w:szCs w:val="24"/>
        </w:rPr>
      </w:pPr>
    </w:p>
    <w:p w14:paraId="30F528EB" w14:textId="4BF2F7FA" w:rsidR="00BE4011" w:rsidRPr="00704E95" w:rsidRDefault="00704E95" w:rsidP="00BE4011">
      <w:pPr>
        <w:pStyle w:val="ListParagraph"/>
        <w:numPr>
          <w:ilvl w:val="0"/>
          <w:numId w:val="3"/>
        </w:numPr>
        <w:spacing w:after="160" w:line="360" w:lineRule="auto"/>
        <w:jc w:val="both"/>
        <w:rPr>
          <w:rFonts w:ascii="Verdana" w:hAnsi="Verdana"/>
          <w:b/>
          <w:bCs/>
          <w:color w:val="FF0000"/>
          <w:sz w:val="24"/>
          <w:szCs w:val="24"/>
        </w:rPr>
      </w:pPr>
      <w:r w:rsidRPr="00704E95">
        <w:rPr>
          <w:rFonts w:ascii="Verdana" w:hAnsi="Verdana"/>
          <w:b/>
          <w:bCs/>
          <w:color w:val="FF0000"/>
          <w:sz w:val="24"/>
          <w:szCs w:val="24"/>
        </w:rPr>
        <w:t xml:space="preserve">Details of Alleged Commission &amp; </w:t>
      </w:r>
      <w:proofErr w:type="spellStart"/>
      <w:r w:rsidRPr="00704E95">
        <w:rPr>
          <w:rFonts w:ascii="Verdana" w:hAnsi="Verdana"/>
          <w:b/>
          <w:bCs/>
          <w:color w:val="FF0000"/>
          <w:sz w:val="24"/>
          <w:szCs w:val="24"/>
        </w:rPr>
        <w:t>Accomodation</w:t>
      </w:r>
      <w:proofErr w:type="spellEnd"/>
      <w:r w:rsidRPr="00704E95">
        <w:rPr>
          <w:rFonts w:ascii="Verdana" w:hAnsi="Verdana"/>
          <w:b/>
          <w:bCs/>
          <w:color w:val="FF0000"/>
          <w:sz w:val="24"/>
          <w:szCs w:val="24"/>
        </w:rPr>
        <w:t xml:space="preserve"> entries</w:t>
      </w:r>
    </w:p>
    <w:p w14:paraId="5E73AEE4" w14:textId="1E1C08BD" w:rsidR="00486BDF" w:rsidRDefault="00BE4011" w:rsidP="00704E95">
      <w:pPr>
        <w:pStyle w:val="ListParagraph"/>
        <w:spacing w:after="160" w:line="360" w:lineRule="auto"/>
        <w:jc w:val="both"/>
        <w:rPr>
          <w:rFonts w:ascii="Verdana" w:hAnsi="Verdana"/>
          <w:sz w:val="24"/>
          <w:szCs w:val="24"/>
        </w:rPr>
      </w:pPr>
      <w:r w:rsidRPr="00BE4011">
        <w:rPr>
          <w:rFonts w:ascii="Verdana" w:hAnsi="Verdana"/>
          <w:sz w:val="24"/>
          <w:szCs w:val="24"/>
        </w:rPr>
        <w:t xml:space="preserve">On Page 3 of the </w:t>
      </w:r>
      <w:proofErr w:type="gramStart"/>
      <w:r w:rsidRPr="00BE4011">
        <w:rPr>
          <w:rFonts w:ascii="Verdana" w:hAnsi="Verdana"/>
          <w:sz w:val="24"/>
          <w:szCs w:val="24"/>
        </w:rPr>
        <w:t>notice</w:t>
      </w:r>
      <w:proofErr w:type="gramEnd"/>
      <w:r w:rsidRPr="00BE4011">
        <w:rPr>
          <w:rFonts w:ascii="Verdana" w:hAnsi="Verdana"/>
          <w:sz w:val="24"/>
          <w:szCs w:val="24"/>
        </w:rPr>
        <w:t xml:space="preserve"> you have mentioned in second paragraph that </w:t>
      </w:r>
      <w:r w:rsidRPr="00BE4011">
        <w:rPr>
          <w:rFonts w:ascii="Verdana" w:hAnsi="Verdana"/>
          <w:b/>
          <w:bCs/>
          <w:sz w:val="24"/>
          <w:szCs w:val="24"/>
        </w:rPr>
        <w:t xml:space="preserve">“M/s. Sonal Global Ltd; is a non-genuine entity, engaged in providing accommodation entries and the assessee had also paid commission in respect of the accommodation </w:t>
      </w:r>
      <w:r w:rsidRPr="00BE4011">
        <w:rPr>
          <w:rFonts w:ascii="Verdana" w:hAnsi="Verdana"/>
          <w:b/>
          <w:bCs/>
          <w:sz w:val="24"/>
          <w:szCs w:val="24"/>
        </w:rPr>
        <w:lastRenderedPageBreak/>
        <w:t>entries</w:t>
      </w:r>
      <w:r w:rsidR="00EA65FB" w:rsidRPr="00BE4011">
        <w:rPr>
          <w:rFonts w:ascii="Verdana" w:hAnsi="Verdana"/>
          <w:b/>
          <w:bCs/>
          <w:sz w:val="24"/>
          <w:szCs w:val="24"/>
        </w:rPr>
        <w:t>”</w:t>
      </w:r>
      <w:r w:rsidR="00EA65FB" w:rsidRPr="00BE4011">
        <w:rPr>
          <w:rFonts w:ascii="Verdana" w:hAnsi="Verdana"/>
          <w:sz w:val="24"/>
          <w:szCs w:val="24"/>
        </w:rPr>
        <w:t>; we</w:t>
      </w:r>
      <w:r w:rsidRPr="00BE4011">
        <w:rPr>
          <w:rFonts w:ascii="Verdana" w:hAnsi="Verdana"/>
          <w:sz w:val="24"/>
          <w:szCs w:val="24"/>
        </w:rPr>
        <w:t xml:space="preserve"> further request you to the share the details of alleged commission and alleged accommodation entries.</w:t>
      </w:r>
    </w:p>
    <w:p w14:paraId="28685FD2" w14:textId="77777777" w:rsidR="00704E95" w:rsidRDefault="00704E95" w:rsidP="00704E95">
      <w:pPr>
        <w:pStyle w:val="ListParagraph"/>
        <w:spacing w:after="160" w:line="360" w:lineRule="auto"/>
        <w:jc w:val="both"/>
        <w:rPr>
          <w:rFonts w:ascii="Verdana" w:hAnsi="Verdana"/>
          <w:sz w:val="24"/>
          <w:szCs w:val="24"/>
        </w:rPr>
      </w:pPr>
    </w:p>
    <w:p w14:paraId="5AF88A90" w14:textId="77777777" w:rsidR="00FA394D" w:rsidRDefault="00FA394D" w:rsidP="00704E95">
      <w:pPr>
        <w:pStyle w:val="ListParagraph"/>
        <w:spacing w:after="160" w:line="360" w:lineRule="auto"/>
        <w:ind w:left="360"/>
        <w:jc w:val="both"/>
        <w:rPr>
          <w:rFonts w:ascii="Verdana" w:hAnsi="Verdana"/>
          <w:b/>
          <w:bCs/>
          <w:sz w:val="24"/>
          <w:szCs w:val="24"/>
        </w:rPr>
      </w:pPr>
    </w:p>
    <w:p w14:paraId="7716B57F" w14:textId="0FA17803" w:rsidR="00FA394D" w:rsidRPr="008F7136" w:rsidRDefault="001F1ED2" w:rsidP="00FA394D">
      <w:pPr>
        <w:pStyle w:val="ListParagraph"/>
        <w:numPr>
          <w:ilvl w:val="0"/>
          <w:numId w:val="3"/>
        </w:numPr>
        <w:spacing w:after="160" w:line="360" w:lineRule="auto"/>
        <w:jc w:val="both"/>
        <w:rPr>
          <w:rFonts w:ascii="Verdana" w:hAnsi="Verdana"/>
          <w:b/>
          <w:bCs/>
          <w:sz w:val="24"/>
          <w:szCs w:val="24"/>
        </w:rPr>
      </w:pPr>
      <w:r w:rsidRPr="008F7136">
        <w:rPr>
          <w:rFonts w:ascii="Verdana" w:hAnsi="Verdana"/>
          <w:b/>
          <w:bCs/>
          <w:color w:val="FF0000"/>
          <w:sz w:val="24"/>
          <w:szCs w:val="24"/>
        </w:rPr>
        <w:t xml:space="preserve">Information sought for </w:t>
      </w:r>
      <w:r w:rsidR="008F7136" w:rsidRPr="008F7136">
        <w:rPr>
          <w:rFonts w:ascii="Verdana" w:hAnsi="Verdana"/>
          <w:b/>
          <w:bCs/>
          <w:color w:val="FF0000"/>
          <w:sz w:val="24"/>
          <w:szCs w:val="24"/>
        </w:rPr>
        <w:t>on Page 7 of the notice</w:t>
      </w:r>
    </w:p>
    <w:p w14:paraId="6E863FCB" w14:textId="77777777" w:rsidR="009220C8" w:rsidRPr="009220C8" w:rsidRDefault="008F7136" w:rsidP="000D4135">
      <w:pPr>
        <w:pStyle w:val="ListParagraph"/>
        <w:numPr>
          <w:ilvl w:val="1"/>
          <w:numId w:val="3"/>
        </w:numPr>
        <w:spacing w:after="160" w:line="360" w:lineRule="auto"/>
        <w:jc w:val="both"/>
        <w:rPr>
          <w:rFonts w:ascii="Verdana" w:hAnsi="Verdana"/>
          <w:sz w:val="24"/>
          <w:szCs w:val="24"/>
        </w:rPr>
      </w:pPr>
      <w:r w:rsidRPr="00E44EA8">
        <w:rPr>
          <w:rFonts w:ascii="Verdana" w:hAnsi="Verdana"/>
          <w:sz w:val="24"/>
          <w:szCs w:val="24"/>
        </w:rPr>
        <w:t xml:space="preserve">Point 1 </w:t>
      </w:r>
      <w:r w:rsidR="003E5085" w:rsidRPr="00E44EA8">
        <w:rPr>
          <w:rFonts w:ascii="Verdana" w:hAnsi="Verdana"/>
          <w:sz w:val="24"/>
          <w:szCs w:val="24"/>
        </w:rPr>
        <w:t>–</w:t>
      </w:r>
      <w:r w:rsidRPr="00E44EA8">
        <w:rPr>
          <w:rFonts w:ascii="Verdana" w:hAnsi="Verdana"/>
          <w:sz w:val="24"/>
          <w:szCs w:val="24"/>
        </w:rPr>
        <w:t xml:space="preserve"> </w:t>
      </w:r>
      <w:r w:rsidR="005E586D" w:rsidRPr="00E44EA8">
        <w:rPr>
          <w:rFonts w:ascii="Verdana" w:hAnsi="Verdana"/>
          <w:sz w:val="24"/>
          <w:szCs w:val="24"/>
        </w:rPr>
        <w:t>Assessee</w:t>
      </w:r>
      <w:r w:rsidR="009220C8">
        <w:rPr>
          <w:rFonts w:ascii="Verdana" w:hAnsi="Verdana"/>
          <w:sz w:val="24"/>
          <w:szCs w:val="24"/>
        </w:rPr>
        <w:t xml:space="preserve"> was engaged in Investment Activities and h</w:t>
      </w:r>
      <w:r w:rsidR="00F63852" w:rsidRPr="00E44EA8">
        <w:rPr>
          <w:rFonts w:ascii="Verdana" w:hAnsi="Verdana"/>
          <w:sz w:val="24"/>
          <w:szCs w:val="24"/>
        </w:rPr>
        <w:t xml:space="preserve">ad </w:t>
      </w:r>
      <w:r w:rsidR="009220C8">
        <w:rPr>
          <w:rFonts w:ascii="Verdana" w:hAnsi="Verdana" w:cs="Arial"/>
          <w:color w:val="222222"/>
          <w:sz w:val="24"/>
          <w:szCs w:val="24"/>
          <w:shd w:val="clear" w:color="auto" w:fill="FFFFFF"/>
        </w:rPr>
        <w:t>s</w:t>
      </w:r>
      <w:r w:rsidR="008E1CEA" w:rsidRPr="00E44EA8">
        <w:rPr>
          <w:rFonts w:ascii="Verdana" w:hAnsi="Verdana" w:cs="Arial"/>
          <w:color w:val="222222"/>
          <w:sz w:val="24"/>
          <w:szCs w:val="24"/>
          <w:shd w:val="clear" w:color="auto" w:fill="FFFFFF"/>
        </w:rPr>
        <w:t xml:space="preserve">ources of </w:t>
      </w:r>
      <w:r w:rsidR="009220C8">
        <w:rPr>
          <w:rFonts w:ascii="Verdana" w:hAnsi="Verdana" w:cs="Arial"/>
          <w:color w:val="222222"/>
          <w:sz w:val="24"/>
          <w:szCs w:val="24"/>
          <w:shd w:val="clear" w:color="auto" w:fill="FFFFFF"/>
        </w:rPr>
        <w:t>i</w:t>
      </w:r>
      <w:r w:rsidR="008E1CEA" w:rsidRPr="00E44EA8">
        <w:rPr>
          <w:rFonts w:ascii="Verdana" w:hAnsi="Verdana" w:cs="Arial"/>
          <w:color w:val="222222"/>
          <w:sz w:val="24"/>
          <w:szCs w:val="24"/>
          <w:shd w:val="clear" w:color="auto" w:fill="FFFFFF"/>
        </w:rPr>
        <w:t>ncome for AY 201</w:t>
      </w:r>
      <w:r w:rsidR="00F263A3" w:rsidRPr="00E44EA8">
        <w:rPr>
          <w:rFonts w:ascii="Verdana" w:hAnsi="Verdana" w:cs="Arial"/>
          <w:color w:val="222222"/>
          <w:sz w:val="24"/>
          <w:szCs w:val="24"/>
          <w:shd w:val="clear" w:color="auto" w:fill="FFFFFF"/>
        </w:rPr>
        <w:t xml:space="preserve">4-15 from </w:t>
      </w:r>
      <w:r w:rsidR="00FC1055" w:rsidRPr="00E44EA8">
        <w:rPr>
          <w:rFonts w:ascii="Verdana" w:hAnsi="Verdana" w:cs="Arial"/>
          <w:color w:val="222222"/>
          <w:sz w:val="24"/>
          <w:szCs w:val="24"/>
          <w:shd w:val="clear" w:color="auto" w:fill="FFFFFF"/>
        </w:rPr>
        <w:t>Remuneration, S</w:t>
      </w:r>
      <w:r w:rsidR="008E1CEA" w:rsidRPr="00E44EA8">
        <w:rPr>
          <w:rFonts w:ascii="Verdana" w:hAnsi="Verdana" w:cs="Arial"/>
          <w:color w:val="222222"/>
          <w:sz w:val="24"/>
          <w:szCs w:val="24"/>
          <w:shd w:val="clear" w:color="auto" w:fill="FFFFFF"/>
        </w:rPr>
        <w:t>hare</w:t>
      </w:r>
      <w:r w:rsidR="00F263A3" w:rsidRPr="00E44EA8">
        <w:rPr>
          <w:rFonts w:ascii="Verdana" w:hAnsi="Verdana" w:cs="Arial"/>
          <w:color w:val="222222"/>
          <w:sz w:val="24"/>
          <w:szCs w:val="24"/>
          <w:shd w:val="clear" w:color="auto" w:fill="FFFFFF"/>
        </w:rPr>
        <w:t xml:space="preserve"> </w:t>
      </w:r>
      <w:r w:rsidR="008E1CEA" w:rsidRPr="00E44EA8">
        <w:rPr>
          <w:rFonts w:ascii="Verdana" w:hAnsi="Verdana" w:cs="Arial"/>
          <w:color w:val="222222"/>
          <w:sz w:val="24"/>
          <w:szCs w:val="24"/>
          <w:shd w:val="clear" w:color="auto" w:fill="FFFFFF"/>
        </w:rPr>
        <w:t>of Profit of Partnership Firm, Remuneration from Partnership firm,</w:t>
      </w:r>
      <w:r w:rsidR="00A5356A" w:rsidRPr="00E44EA8">
        <w:rPr>
          <w:rFonts w:ascii="Verdana" w:hAnsi="Verdana" w:cs="Arial"/>
          <w:color w:val="222222"/>
          <w:sz w:val="24"/>
          <w:szCs w:val="24"/>
          <w:shd w:val="clear" w:color="auto" w:fill="FFFFFF"/>
        </w:rPr>
        <w:t xml:space="preserve"> Income from Derivatives Transaction</w:t>
      </w:r>
      <w:r w:rsidR="00E44EA8" w:rsidRPr="00E44EA8">
        <w:rPr>
          <w:rFonts w:ascii="Verdana" w:hAnsi="Verdana" w:cs="Arial"/>
          <w:color w:val="222222"/>
          <w:sz w:val="24"/>
          <w:szCs w:val="24"/>
          <w:shd w:val="clear" w:color="auto" w:fill="FFFFFF"/>
        </w:rPr>
        <w:t>,</w:t>
      </w:r>
      <w:r w:rsidR="008E1CEA" w:rsidRPr="00E44EA8">
        <w:rPr>
          <w:rFonts w:ascii="Verdana" w:hAnsi="Verdana" w:cs="Arial"/>
          <w:color w:val="222222"/>
          <w:sz w:val="24"/>
          <w:szCs w:val="24"/>
          <w:shd w:val="clear" w:color="auto" w:fill="FFFFFF"/>
        </w:rPr>
        <w:t xml:space="preserve"> Short</w:t>
      </w:r>
      <w:r w:rsidR="00FC1055" w:rsidRPr="00E44EA8">
        <w:rPr>
          <w:rFonts w:ascii="Verdana" w:hAnsi="Verdana" w:cs="Arial"/>
          <w:color w:val="222222"/>
          <w:sz w:val="24"/>
          <w:szCs w:val="24"/>
          <w:shd w:val="clear" w:color="auto" w:fill="FFFFFF"/>
        </w:rPr>
        <w:t xml:space="preserve"> </w:t>
      </w:r>
      <w:r w:rsidR="008E1CEA" w:rsidRPr="00E44EA8">
        <w:rPr>
          <w:rFonts w:ascii="Verdana" w:hAnsi="Verdana" w:cs="Arial"/>
          <w:color w:val="222222"/>
          <w:sz w:val="24"/>
          <w:szCs w:val="24"/>
          <w:shd w:val="clear" w:color="auto" w:fill="FFFFFF"/>
        </w:rPr>
        <w:t>Term Capital Gain, Long Term Capital Gain, Interest Income and Dividend</w:t>
      </w:r>
      <w:r w:rsidR="00E44EA8" w:rsidRPr="00E44EA8">
        <w:rPr>
          <w:rFonts w:ascii="Verdana" w:hAnsi="Verdana" w:cs="Arial"/>
          <w:color w:val="222222"/>
          <w:sz w:val="24"/>
          <w:szCs w:val="24"/>
          <w:shd w:val="clear" w:color="auto" w:fill="FFFFFF"/>
        </w:rPr>
        <w:t xml:space="preserve"> </w:t>
      </w:r>
      <w:r w:rsidR="008E1CEA" w:rsidRPr="00E44EA8">
        <w:rPr>
          <w:rFonts w:ascii="Verdana" w:hAnsi="Verdana" w:cs="Arial"/>
          <w:color w:val="222222"/>
          <w:sz w:val="24"/>
          <w:szCs w:val="24"/>
          <w:shd w:val="clear" w:color="auto" w:fill="FFFFFF"/>
        </w:rPr>
        <w:t>Income.</w:t>
      </w:r>
    </w:p>
    <w:p w14:paraId="71A9BBD2" w14:textId="77777777" w:rsidR="00BE5215" w:rsidRPr="00BE5215" w:rsidRDefault="00BE5215" w:rsidP="000D4135">
      <w:pPr>
        <w:pStyle w:val="ListParagraph"/>
        <w:numPr>
          <w:ilvl w:val="1"/>
          <w:numId w:val="3"/>
        </w:numPr>
        <w:spacing w:after="160" w:line="360" w:lineRule="auto"/>
        <w:jc w:val="both"/>
        <w:rPr>
          <w:rFonts w:ascii="Verdana" w:hAnsi="Verdana"/>
          <w:sz w:val="24"/>
          <w:szCs w:val="24"/>
        </w:rPr>
      </w:pPr>
      <w:r>
        <w:rPr>
          <w:rFonts w:ascii="Verdana" w:hAnsi="Verdana" w:cs="Arial"/>
          <w:color w:val="222222"/>
          <w:sz w:val="24"/>
          <w:szCs w:val="24"/>
          <w:shd w:val="clear" w:color="auto" w:fill="FFFFFF"/>
        </w:rPr>
        <w:t>Point 2 – Computation of Income is attached for your records</w:t>
      </w:r>
    </w:p>
    <w:p w14:paraId="5DB44089" w14:textId="77777777" w:rsidR="00642D6E" w:rsidRPr="00642D6E" w:rsidRDefault="00BE5215" w:rsidP="000D4135">
      <w:pPr>
        <w:pStyle w:val="ListParagraph"/>
        <w:numPr>
          <w:ilvl w:val="1"/>
          <w:numId w:val="3"/>
        </w:numPr>
        <w:spacing w:after="160" w:line="360" w:lineRule="auto"/>
        <w:jc w:val="both"/>
        <w:rPr>
          <w:rFonts w:ascii="Verdana" w:hAnsi="Verdana"/>
          <w:sz w:val="24"/>
          <w:szCs w:val="24"/>
        </w:rPr>
      </w:pPr>
      <w:r>
        <w:rPr>
          <w:rFonts w:ascii="Verdana" w:hAnsi="Verdana" w:cs="Arial"/>
          <w:color w:val="222222"/>
          <w:sz w:val="24"/>
          <w:szCs w:val="24"/>
          <w:shd w:val="clear" w:color="auto" w:fill="FFFFFF"/>
        </w:rPr>
        <w:t xml:space="preserve">Point 3 </w:t>
      </w:r>
      <w:r w:rsidR="009A088F">
        <w:rPr>
          <w:rFonts w:ascii="Verdana" w:hAnsi="Verdana" w:cs="Arial"/>
          <w:color w:val="222222"/>
          <w:sz w:val="24"/>
          <w:szCs w:val="24"/>
          <w:shd w:val="clear" w:color="auto" w:fill="FFFFFF"/>
        </w:rPr>
        <w:t>–</w:t>
      </w:r>
      <w:r>
        <w:rPr>
          <w:rFonts w:ascii="Verdana" w:hAnsi="Verdana" w:cs="Arial"/>
          <w:color w:val="222222"/>
          <w:sz w:val="24"/>
          <w:szCs w:val="24"/>
          <w:shd w:val="clear" w:color="auto" w:fill="FFFFFF"/>
        </w:rPr>
        <w:t xml:space="preserve"> </w:t>
      </w:r>
      <w:r w:rsidR="009A088F">
        <w:rPr>
          <w:rFonts w:ascii="Verdana" w:hAnsi="Verdana" w:cs="Arial"/>
          <w:color w:val="222222"/>
          <w:sz w:val="24"/>
          <w:szCs w:val="24"/>
          <w:shd w:val="clear" w:color="auto" w:fill="FFFFFF"/>
        </w:rPr>
        <w:t xml:space="preserve">Assessee was not required to maintain Books of Accounts and hence Profit &amp; Loss Account </w:t>
      </w:r>
      <w:r w:rsidR="00825128">
        <w:rPr>
          <w:rFonts w:ascii="Verdana" w:hAnsi="Verdana" w:cs="Arial"/>
          <w:color w:val="222222"/>
          <w:sz w:val="24"/>
          <w:szCs w:val="24"/>
          <w:shd w:val="clear" w:color="auto" w:fill="FFFFFF"/>
        </w:rPr>
        <w:t xml:space="preserve">and Balance sheet was not maintained by the Assessee. Audit was also not applicable hence </w:t>
      </w:r>
      <w:r w:rsidR="002056C9">
        <w:rPr>
          <w:rFonts w:ascii="Verdana" w:hAnsi="Verdana" w:cs="Arial"/>
          <w:color w:val="222222"/>
          <w:sz w:val="24"/>
          <w:szCs w:val="24"/>
          <w:shd w:val="clear" w:color="auto" w:fill="FFFFFF"/>
        </w:rPr>
        <w:t>a</w:t>
      </w:r>
      <w:r w:rsidR="00825128">
        <w:rPr>
          <w:rFonts w:ascii="Verdana" w:hAnsi="Verdana" w:cs="Arial"/>
          <w:color w:val="222222"/>
          <w:sz w:val="24"/>
          <w:szCs w:val="24"/>
          <w:shd w:val="clear" w:color="auto" w:fill="FFFFFF"/>
        </w:rPr>
        <w:t xml:space="preserve">udit report </w:t>
      </w:r>
      <w:r w:rsidR="002056C9">
        <w:rPr>
          <w:rFonts w:ascii="Verdana" w:hAnsi="Verdana" w:cs="Arial"/>
          <w:color w:val="222222"/>
          <w:sz w:val="24"/>
          <w:szCs w:val="24"/>
          <w:shd w:val="clear" w:color="auto" w:fill="FFFFFF"/>
        </w:rPr>
        <w:t>is not available for AY 2014-15.</w:t>
      </w:r>
    </w:p>
    <w:p w14:paraId="74D93DA4" w14:textId="77777777" w:rsidR="00443616" w:rsidRPr="00443616" w:rsidRDefault="00642D6E" w:rsidP="000D4135">
      <w:pPr>
        <w:pStyle w:val="ListParagraph"/>
        <w:numPr>
          <w:ilvl w:val="1"/>
          <w:numId w:val="3"/>
        </w:numPr>
        <w:spacing w:after="160" w:line="360" w:lineRule="auto"/>
        <w:jc w:val="both"/>
        <w:rPr>
          <w:rFonts w:ascii="Verdana" w:hAnsi="Verdana"/>
          <w:sz w:val="24"/>
          <w:szCs w:val="24"/>
        </w:rPr>
      </w:pPr>
      <w:r>
        <w:rPr>
          <w:rFonts w:ascii="Verdana" w:hAnsi="Verdana" w:cs="Arial"/>
          <w:color w:val="222222"/>
          <w:sz w:val="24"/>
          <w:szCs w:val="24"/>
          <w:shd w:val="clear" w:color="auto" w:fill="FFFFFF"/>
        </w:rPr>
        <w:t xml:space="preserve">Point 4 </w:t>
      </w:r>
      <w:r w:rsidR="00443616">
        <w:rPr>
          <w:rFonts w:ascii="Verdana" w:hAnsi="Verdana" w:cs="Arial"/>
          <w:color w:val="222222"/>
          <w:sz w:val="24"/>
          <w:szCs w:val="24"/>
          <w:shd w:val="clear" w:color="auto" w:fill="FFFFFF"/>
        </w:rPr>
        <w:t>–</w:t>
      </w:r>
      <w:r>
        <w:rPr>
          <w:rFonts w:ascii="Verdana" w:hAnsi="Verdana" w:cs="Arial"/>
          <w:color w:val="222222"/>
          <w:sz w:val="24"/>
          <w:szCs w:val="24"/>
          <w:shd w:val="clear" w:color="auto" w:fill="FFFFFF"/>
        </w:rPr>
        <w:t xml:space="preserve"> </w:t>
      </w:r>
      <w:r w:rsidR="00443616">
        <w:rPr>
          <w:rFonts w:ascii="Verdana" w:hAnsi="Verdana" w:cs="Arial"/>
          <w:color w:val="222222"/>
          <w:sz w:val="24"/>
          <w:szCs w:val="24"/>
          <w:shd w:val="clear" w:color="auto" w:fill="FFFFFF"/>
        </w:rPr>
        <w:t>Bank Account Statements are attached for your records</w:t>
      </w:r>
    </w:p>
    <w:p w14:paraId="53D55690" w14:textId="77777777" w:rsidR="00443616" w:rsidRPr="00443616" w:rsidRDefault="00443616" w:rsidP="000D4135">
      <w:pPr>
        <w:pStyle w:val="ListParagraph"/>
        <w:numPr>
          <w:ilvl w:val="1"/>
          <w:numId w:val="3"/>
        </w:numPr>
        <w:spacing w:after="160" w:line="360" w:lineRule="auto"/>
        <w:jc w:val="both"/>
        <w:rPr>
          <w:rFonts w:ascii="Verdana" w:hAnsi="Verdana"/>
          <w:sz w:val="24"/>
          <w:szCs w:val="24"/>
        </w:rPr>
      </w:pPr>
      <w:r>
        <w:rPr>
          <w:rFonts w:ascii="Verdana" w:hAnsi="Verdana" w:cs="Arial"/>
          <w:color w:val="222222"/>
          <w:sz w:val="24"/>
          <w:szCs w:val="24"/>
          <w:shd w:val="clear" w:color="auto" w:fill="FFFFFF"/>
        </w:rPr>
        <w:t>Point 5 – Cash Book is not maintained by the Assessee.</w:t>
      </w:r>
    </w:p>
    <w:p w14:paraId="4F931D54" w14:textId="77777777" w:rsidR="00E265A0" w:rsidRPr="00E265A0" w:rsidRDefault="008E56CB" w:rsidP="000D4135">
      <w:pPr>
        <w:pStyle w:val="ListParagraph"/>
        <w:numPr>
          <w:ilvl w:val="1"/>
          <w:numId w:val="3"/>
        </w:numPr>
        <w:spacing w:after="160" w:line="360" w:lineRule="auto"/>
        <w:jc w:val="both"/>
        <w:rPr>
          <w:rFonts w:ascii="Verdana" w:hAnsi="Verdana"/>
          <w:sz w:val="24"/>
          <w:szCs w:val="24"/>
        </w:rPr>
      </w:pPr>
      <w:r>
        <w:rPr>
          <w:rFonts w:ascii="Verdana" w:hAnsi="Verdana" w:cs="Arial"/>
          <w:color w:val="222222"/>
          <w:sz w:val="24"/>
          <w:szCs w:val="24"/>
          <w:shd w:val="clear" w:color="auto" w:fill="FFFFFF"/>
        </w:rPr>
        <w:t>Point 6 – Not Applicable</w:t>
      </w:r>
    </w:p>
    <w:p w14:paraId="6DB3CFF9" w14:textId="01D1255D" w:rsidR="00704E95" w:rsidRPr="00E265A0" w:rsidRDefault="00825128" w:rsidP="00E265A0">
      <w:pPr>
        <w:spacing w:after="160" w:line="360" w:lineRule="auto"/>
        <w:jc w:val="both"/>
        <w:rPr>
          <w:rFonts w:ascii="Verdana" w:hAnsi="Verdana"/>
          <w:sz w:val="24"/>
          <w:szCs w:val="24"/>
        </w:rPr>
      </w:pPr>
      <w:r w:rsidRPr="00E265A0">
        <w:rPr>
          <w:rFonts w:ascii="Verdana" w:hAnsi="Verdana" w:cs="Arial"/>
          <w:color w:val="222222"/>
          <w:sz w:val="24"/>
          <w:szCs w:val="24"/>
          <w:shd w:val="clear" w:color="auto" w:fill="FFFFFF"/>
        </w:rPr>
        <w:t xml:space="preserve"> </w:t>
      </w:r>
      <w:r w:rsidR="008E1CEA" w:rsidRPr="00E265A0">
        <w:rPr>
          <w:rFonts w:ascii="Verdana" w:hAnsi="Verdana" w:cs="Arial"/>
          <w:color w:val="222222"/>
          <w:sz w:val="24"/>
          <w:szCs w:val="24"/>
          <w:shd w:val="clear" w:color="auto" w:fill="FFFFFF"/>
        </w:rPr>
        <w:t xml:space="preserve"> </w:t>
      </w:r>
    </w:p>
    <w:p w14:paraId="262E0065" w14:textId="77777777" w:rsidR="00C46549" w:rsidRDefault="00C46549" w:rsidP="00C46549">
      <w:pPr>
        <w:pStyle w:val="ListParagraph"/>
        <w:spacing w:after="160" w:line="360" w:lineRule="auto"/>
        <w:ind w:left="360"/>
        <w:jc w:val="both"/>
        <w:rPr>
          <w:rFonts w:ascii="Verdana" w:hAnsi="Verdana"/>
          <w:b/>
          <w:bCs/>
          <w:sz w:val="24"/>
          <w:szCs w:val="24"/>
        </w:rPr>
      </w:pPr>
      <w:r w:rsidRPr="00D10FE2">
        <w:rPr>
          <w:rFonts w:ascii="Verdana" w:hAnsi="Verdana"/>
          <w:b/>
          <w:bCs/>
          <w:sz w:val="24"/>
          <w:szCs w:val="24"/>
        </w:rPr>
        <w:t>Without prejudice to above, it is once again re-iterated that I have not entered into any such loan transaction involving amount of Rs. 50,00,000/- as alleged and therefore proposed addition may not be made to my total income</w:t>
      </w:r>
    </w:p>
    <w:p w14:paraId="1D9EEA50" w14:textId="77777777" w:rsidR="00D10FE2" w:rsidRDefault="00D10FE2" w:rsidP="00D10FE2">
      <w:pPr>
        <w:pStyle w:val="ListParagraph"/>
        <w:spacing w:after="160" w:line="360" w:lineRule="auto"/>
        <w:ind w:left="360"/>
        <w:jc w:val="both"/>
        <w:rPr>
          <w:rFonts w:ascii="Verdana" w:hAnsi="Verdana"/>
          <w:b/>
          <w:bCs/>
          <w:sz w:val="24"/>
          <w:szCs w:val="24"/>
        </w:rPr>
      </w:pPr>
    </w:p>
    <w:p w14:paraId="4B420174" w14:textId="7E2521DC" w:rsidR="00D10FE2" w:rsidRPr="00D10FE2" w:rsidRDefault="00C46549" w:rsidP="00D10FE2">
      <w:pPr>
        <w:pStyle w:val="ListParagraph"/>
        <w:spacing w:after="160" w:line="360" w:lineRule="auto"/>
        <w:ind w:left="360"/>
        <w:jc w:val="both"/>
        <w:rPr>
          <w:rFonts w:ascii="Verdana" w:hAnsi="Verdana"/>
          <w:b/>
          <w:bCs/>
          <w:sz w:val="24"/>
          <w:szCs w:val="24"/>
        </w:rPr>
      </w:pPr>
      <w:r w:rsidRPr="00D10FE2">
        <w:rPr>
          <w:rFonts w:ascii="Verdana" w:hAnsi="Verdana"/>
          <w:b/>
          <w:bCs/>
          <w:sz w:val="24"/>
          <w:szCs w:val="24"/>
        </w:rPr>
        <w:t xml:space="preserve">Without prejudice to above, </w:t>
      </w:r>
      <w:r>
        <w:rPr>
          <w:rFonts w:ascii="Verdana" w:hAnsi="Verdana"/>
          <w:b/>
          <w:bCs/>
          <w:sz w:val="24"/>
          <w:szCs w:val="24"/>
        </w:rPr>
        <w:t>Assessee has</w:t>
      </w:r>
      <w:r w:rsidRPr="00D10FE2">
        <w:rPr>
          <w:rFonts w:ascii="Verdana" w:hAnsi="Verdana"/>
          <w:b/>
          <w:bCs/>
          <w:sz w:val="24"/>
          <w:szCs w:val="24"/>
        </w:rPr>
        <w:t xml:space="preserve"> not entered into any </w:t>
      </w:r>
      <w:r>
        <w:rPr>
          <w:rFonts w:ascii="Verdana" w:hAnsi="Verdana"/>
          <w:b/>
          <w:bCs/>
          <w:sz w:val="24"/>
          <w:szCs w:val="24"/>
        </w:rPr>
        <w:t xml:space="preserve">accommodation entries transaction </w:t>
      </w:r>
      <w:r w:rsidRPr="00D10FE2">
        <w:rPr>
          <w:rFonts w:ascii="Verdana" w:hAnsi="Verdana"/>
          <w:b/>
          <w:bCs/>
          <w:sz w:val="24"/>
          <w:szCs w:val="24"/>
        </w:rPr>
        <w:t xml:space="preserve">Rs. </w:t>
      </w:r>
      <w:r>
        <w:rPr>
          <w:rFonts w:ascii="Verdana" w:hAnsi="Verdana"/>
          <w:b/>
          <w:bCs/>
          <w:sz w:val="24"/>
          <w:szCs w:val="24"/>
        </w:rPr>
        <w:t>2,02,400</w:t>
      </w:r>
      <w:r w:rsidRPr="00D10FE2">
        <w:rPr>
          <w:rFonts w:ascii="Verdana" w:hAnsi="Verdana"/>
          <w:b/>
          <w:bCs/>
          <w:sz w:val="24"/>
          <w:szCs w:val="24"/>
        </w:rPr>
        <w:t>/- as alleged and therefore proposed addition may not be made to my total income</w:t>
      </w:r>
      <w:r>
        <w:rPr>
          <w:rFonts w:ascii="Verdana" w:hAnsi="Verdana"/>
          <w:b/>
          <w:bCs/>
          <w:sz w:val="24"/>
          <w:szCs w:val="24"/>
        </w:rPr>
        <w:t>.</w:t>
      </w:r>
    </w:p>
    <w:p w14:paraId="0124EE06" w14:textId="580D81A9" w:rsidR="0073596B" w:rsidRDefault="0073596B" w:rsidP="00D43E5F">
      <w:pPr>
        <w:spacing w:after="0" w:line="360" w:lineRule="auto"/>
        <w:rPr>
          <w:rFonts w:ascii="Verdana" w:hAnsi="Verdana"/>
          <w:sz w:val="24"/>
          <w:szCs w:val="24"/>
          <w:lang w:val="en-US"/>
        </w:rPr>
      </w:pPr>
    </w:p>
    <w:p w14:paraId="61D0774C" w14:textId="77777777" w:rsidR="00E679F0" w:rsidRDefault="00E679F0" w:rsidP="00D43E5F">
      <w:pPr>
        <w:spacing w:after="0" w:line="360" w:lineRule="auto"/>
        <w:rPr>
          <w:rFonts w:ascii="Verdana" w:hAnsi="Verdana"/>
          <w:sz w:val="24"/>
          <w:szCs w:val="24"/>
          <w:lang w:val="en-US"/>
        </w:rPr>
      </w:pPr>
    </w:p>
    <w:p w14:paraId="0AD8B610" w14:textId="77777777" w:rsidR="00E679F0" w:rsidRDefault="00E679F0" w:rsidP="00D43E5F">
      <w:pPr>
        <w:spacing w:after="0" w:line="360" w:lineRule="auto"/>
        <w:rPr>
          <w:rFonts w:ascii="Verdana" w:hAnsi="Verdana"/>
          <w:sz w:val="24"/>
          <w:szCs w:val="24"/>
          <w:lang w:val="en-US"/>
        </w:rPr>
      </w:pPr>
    </w:p>
    <w:p w14:paraId="7B70FD5D" w14:textId="157D815E" w:rsidR="00E679F0" w:rsidRDefault="00E679F0" w:rsidP="00D43E5F">
      <w:pPr>
        <w:spacing w:after="0" w:line="360" w:lineRule="auto"/>
        <w:rPr>
          <w:rFonts w:ascii="Verdana" w:hAnsi="Verdana"/>
          <w:sz w:val="24"/>
          <w:szCs w:val="24"/>
          <w:lang w:val="en-US"/>
        </w:rPr>
      </w:pPr>
      <w:r>
        <w:rPr>
          <w:rFonts w:ascii="Verdana" w:hAnsi="Verdana"/>
          <w:sz w:val="24"/>
          <w:szCs w:val="24"/>
          <w:lang w:val="en-US"/>
        </w:rPr>
        <w:lastRenderedPageBreak/>
        <w:t>Thanking you</w:t>
      </w:r>
    </w:p>
    <w:p w14:paraId="6E0DEF27" w14:textId="77777777" w:rsidR="00E679F0" w:rsidRDefault="00E679F0" w:rsidP="00D43E5F">
      <w:pPr>
        <w:spacing w:after="0" w:line="360" w:lineRule="auto"/>
        <w:rPr>
          <w:rFonts w:ascii="Verdana" w:hAnsi="Verdana"/>
          <w:sz w:val="24"/>
          <w:szCs w:val="24"/>
          <w:lang w:val="en-US"/>
        </w:rPr>
      </w:pPr>
    </w:p>
    <w:p w14:paraId="4124E4B9" w14:textId="0E96DD75" w:rsidR="00E679F0" w:rsidRDefault="00E679F0" w:rsidP="00D43E5F">
      <w:pPr>
        <w:spacing w:after="0" w:line="360" w:lineRule="auto"/>
        <w:rPr>
          <w:rFonts w:ascii="Verdana" w:hAnsi="Verdana"/>
          <w:sz w:val="24"/>
          <w:szCs w:val="24"/>
          <w:lang w:val="en-US"/>
        </w:rPr>
      </w:pPr>
      <w:r>
        <w:rPr>
          <w:rFonts w:ascii="Verdana" w:hAnsi="Verdana"/>
          <w:sz w:val="24"/>
          <w:szCs w:val="24"/>
          <w:lang w:val="en-US"/>
        </w:rPr>
        <w:t xml:space="preserve">Yours Truly </w:t>
      </w:r>
    </w:p>
    <w:p w14:paraId="2CA8CA8B" w14:textId="77777777" w:rsidR="00E679F0" w:rsidRDefault="00E679F0" w:rsidP="00D43E5F">
      <w:pPr>
        <w:spacing w:after="0" w:line="360" w:lineRule="auto"/>
        <w:rPr>
          <w:rFonts w:ascii="Verdana" w:hAnsi="Verdana"/>
          <w:sz w:val="24"/>
          <w:szCs w:val="24"/>
          <w:lang w:val="en-US"/>
        </w:rPr>
      </w:pPr>
    </w:p>
    <w:p w14:paraId="58A1D29F" w14:textId="3E6C4C66" w:rsidR="00E679F0" w:rsidRDefault="00E679F0" w:rsidP="00D43E5F">
      <w:pPr>
        <w:spacing w:after="0" w:line="360" w:lineRule="auto"/>
        <w:rPr>
          <w:rFonts w:ascii="Verdana" w:hAnsi="Verdana"/>
          <w:sz w:val="24"/>
          <w:szCs w:val="24"/>
          <w:lang w:val="en-US"/>
        </w:rPr>
      </w:pPr>
      <w:r>
        <w:rPr>
          <w:rFonts w:ascii="Verdana" w:hAnsi="Verdana"/>
          <w:sz w:val="24"/>
          <w:szCs w:val="24"/>
          <w:lang w:val="en-US"/>
        </w:rPr>
        <w:t>Sd/-</w:t>
      </w:r>
    </w:p>
    <w:p w14:paraId="286487CA" w14:textId="77777777" w:rsidR="00E679F0" w:rsidRDefault="00E679F0" w:rsidP="00D43E5F">
      <w:pPr>
        <w:spacing w:after="0" w:line="360" w:lineRule="auto"/>
        <w:rPr>
          <w:rFonts w:ascii="Verdana" w:hAnsi="Verdana"/>
          <w:sz w:val="24"/>
          <w:szCs w:val="24"/>
          <w:lang w:val="en-US"/>
        </w:rPr>
      </w:pPr>
    </w:p>
    <w:p w14:paraId="0449888B" w14:textId="296519B9" w:rsidR="00E679F0" w:rsidRDefault="00E679F0" w:rsidP="00D43E5F">
      <w:pPr>
        <w:spacing w:after="0" w:line="360" w:lineRule="auto"/>
        <w:rPr>
          <w:rFonts w:ascii="Verdana" w:hAnsi="Verdana"/>
          <w:sz w:val="24"/>
          <w:szCs w:val="24"/>
          <w:lang w:val="en-US"/>
        </w:rPr>
      </w:pPr>
      <w:r>
        <w:rPr>
          <w:rFonts w:ascii="Verdana" w:hAnsi="Verdana"/>
          <w:sz w:val="24"/>
          <w:szCs w:val="24"/>
          <w:lang w:val="en-US"/>
        </w:rPr>
        <w:t>Nilesh Pravinchandra Mehta</w:t>
      </w:r>
    </w:p>
    <w:p w14:paraId="7D5EE3BA" w14:textId="203F33F4" w:rsidR="00E679F0" w:rsidRDefault="00E679F0" w:rsidP="00D43E5F">
      <w:pPr>
        <w:spacing w:after="0" w:line="360" w:lineRule="auto"/>
        <w:rPr>
          <w:rFonts w:ascii="Verdana" w:hAnsi="Verdana"/>
          <w:sz w:val="24"/>
          <w:szCs w:val="24"/>
          <w:lang w:val="en-US"/>
        </w:rPr>
      </w:pPr>
      <w:r>
        <w:rPr>
          <w:rFonts w:ascii="Verdana" w:hAnsi="Verdana"/>
          <w:sz w:val="24"/>
          <w:szCs w:val="24"/>
          <w:lang w:val="en-US"/>
        </w:rPr>
        <w:t>Legal Heir to Late Shri Pravinchandra Amritlal Mehta</w:t>
      </w:r>
    </w:p>
    <w:p w14:paraId="02E72B49" w14:textId="2A7ECF1A" w:rsidR="00E679F0" w:rsidRDefault="00E679F0" w:rsidP="00D43E5F">
      <w:pPr>
        <w:spacing w:after="0" w:line="360" w:lineRule="auto"/>
        <w:rPr>
          <w:rFonts w:ascii="Verdana" w:hAnsi="Verdana"/>
          <w:sz w:val="24"/>
          <w:szCs w:val="24"/>
          <w:lang w:val="en-US"/>
        </w:rPr>
      </w:pPr>
      <w:r>
        <w:rPr>
          <w:rFonts w:ascii="Verdana" w:hAnsi="Verdana"/>
          <w:sz w:val="24"/>
          <w:szCs w:val="24"/>
          <w:lang w:val="en-US"/>
        </w:rPr>
        <w:tab/>
      </w:r>
    </w:p>
    <w:p w14:paraId="230889C8" w14:textId="59A760D6" w:rsidR="00E679F0" w:rsidRPr="00AD1AB3" w:rsidRDefault="00E679F0" w:rsidP="00D43E5F">
      <w:pPr>
        <w:spacing w:after="0" w:line="360" w:lineRule="auto"/>
        <w:rPr>
          <w:rFonts w:ascii="Verdana" w:hAnsi="Verdana"/>
          <w:sz w:val="24"/>
          <w:szCs w:val="24"/>
          <w:lang w:val="en-US"/>
        </w:rPr>
      </w:pPr>
    </w:p>
    <w:p w14:paraId="0124EE07" w14:textId="77777777" w:rsidR="0073596B" w:rsidRPr="00AD1AB3" w:rsidRDefault="0073596B" w:rsidP="00D43E5F">
      <w:pPr>
        <w:spacing w:after="0" w:line="360" w:lineRule="auto"/>
        <w:rPr>
          <w:rFonts w:ascii="Verdana" w:hAnsi="Verdana"/>
          <w:sz w:val="24"/>
          <w:szCs w:val="24"/>
          <w:lang w:val="en-US"/>
        </w:rPr>
      </w:pPr>
    </w:p>
    <w:p w14:paraId="0124EE08" w14:textId="77777777" w:rsidR="0073596B" w:rsidRPr="00AD1AB3" w:rsidRDefault="0073596B" w:rsidP="00D43E5F">
      <w:pPr>
        <w:spacing w:after="0" w:line="360" w:lineRule="auto"/>
        <w:rPr>
          <w:rFonts w:ascii="Verdana" w:hAnsi="Verdana"/>
          <w:sz w:val="24"/>
          <w:szCs w:val="24"/>
          <w:lang w:val="en-US"/>
        </w:rPr>
      </w:pPr>
    </w:p>
    <w:p w14:paraId="0124EE09" w14:textId="77777777" w:rsidR="0073596B" w:rsidRPr="00AD1AB3" w:rsidRDefault="0073596B" w:rsidP="00D43E5F">
      <w:pPr>
        <w:spacing w:after="0" w:line="360" w:lineRule="auto"/>
        <w:rPr>
          <w:rFonts w:ascii="Verdana" w:hAnsi="Verdana"/>
          <w:sz w:val="24"/>
          <w:szCs w:val="24"/>
          <w:lang w:val="en-US"/>
        </w:rPr>
      </w:pPr>
    </w:p>
    <w:p w14:paraId="0124EE0A" w14:textId="77777777" w:rsidR="0073596B" w:rsidRPr="00AD1AB3" w:rsidRDefault="0073596B" w:rsidP="00D43E5F">
      <w:pPr>
        <w:spacing w:after="0" w:line="360" w:lineRule="auto"/>
        <w:rPr>
          <w:rFonts w:ascii="Verdana" w:hAnsi="Verdana"/>
          <w:sz w:val="24"/>
          <w:szCs w:val="24"/>
          <w:lang w:val="en-US"/>
        </w:rPr>
      </w:pPr>
    </w:p>
    <w:sectPr w:rsidR="0073596B" w:rsidRPr="00AD1AB3">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24EE0D" w14:textId="77777777" w:rsidR="0002037C" w:rsidRDefault="0002037C" w:rsidP="00C4661A">
      <w:pPr>
        <w:spacing w:after="0" w:line="240" w:lineRule="auto"/>
      </w:pPr>
      <w:r>
        <w:separator/>
      </w:r>
    </w:p>
  </w:endnote>
  <w:endnote w:type="continuationSeparator" w:id="0">
    <w:p w14:paraId="0124EE0E" w14:textId="77777777" w:rsidR="0002037C" w:rsidRDefault="0002037C" w:rsidP="00C466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MT">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BoldMT">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51581940"/>
      <w:docPartObj>
        <w:docPartGallery w:val="Page Numbers (Bottom of Page)"/>
        <w:docPartUnique/>
      </w:docPartObj>
    </w:sdtPr>
    <w:sdtContent>
      <w:sdt>
        <w:sdtPr>
          <w:id w:val="-1769616900"/>
          <w:docPartObj>
            <w:docPartGallery w:val="Page Numbers (Top of Page)"/>
            <w:docPartUnique/>
          </w:docPartObj>
        </w:sdtPr>
        <w:sdtContent>
          <w:p w14:paraId="53A28DAC" w14:textId="3A2A0151" w:rsidR="00A6097D" w:rsidRDefault="00A6097D">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0124EE10" w14:textId="77777777" w:rsidR="00C4661A" w:rsidRDefault="00C466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24EE0B" w14:textId="77777777" w:rsidR="0002037C" w:rsidRDefault="0002037C" w:rsidP="00C4661A">
      <w:pPr>
        <w:spacing w:after="0" w:line="240" w:lineRule="auto"/>
      </w:pPr>
      <w:r>
        <w:separator/>
      </w:r>
    </w:p>
  </w:footnote>
  <w:footnote w:type="continuationSeparator" w:id="0">
    <w:p w14:paraId="0124EE0C" w14:textId="77777777" w:rsidR="0002037C" w:rsidRDefault="0002037C" w:rsidP="00C4661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5C7C88"/>
    <w:multiLevelType w:val="hybridMultilevel"/>
    <w:tmpl w:val="599E85F4"/>
    <w:lvl w:ilvl="0" w:tplc="0F92BC9C">
      <w:start w:val="1"/>
      <w:numFmt w:val="decimal"/>
      <w:lvlText w:val="%1."/>
      <w:lvlJc w:val="left"/>
      <w:pPr>
        <w:ind w:left="720" w:hanging="360"/>
      </w:pPr>
      <w:rPr>
        <w:rFonts w:cs="ArialMT"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1829077B"/>
    <w:multiLevelType w:val="hybridMultilevel"/>
    <w:tmpl w:val="BA30565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41272CF1"/>
    <w:multiLevelType w:val="hybridMultilevel"/>
    <w:tmpl w:val="CC86EDCA"/>
    <w:lvl w:ilvl="0" w:tplc="4009001B">
      <w:start w:val="1"/>
      <w:numFmt w:val="lowerRoman"/>
      <w:lvlText w:val="%1."/>
      <w:lvlJc w:val="right"/>
      <w:pPr>
        <w:ind w:left="4571" w:hanging="360"/>
      </w:pPr>
    </w:lvl>
    <w:lvl w:ilvl="1" w:tplc="40090019" w:tentative="1">
      <w:start w:val="1"/>
      <w:numFmt w:val="lowerLetter"/>
      <w:lvlText w:val="%2."/>
      <w:lvlJc w:val="left"/>
      <w:pPr>
        <w:ind w:left="5291" w:hanging="360"/>
      </w:pPr>
    </w:lvl>
    <w:lvl w:ilvl="2" w:tplc="4009001B" w:tentative="1">
      <w:start w:val="1"/>
      <w:numFmt w:val="lowerRoman"/>
      <w:lvlText w:val="%3."/>
      <w:lvlJc w:val="right"/>
      <w:pPr>
        <w:ind w:left="6011" w:hanging="180"/>
      </w:pPr>
    </w:lvl>
    <w:lvl w:ilvl="3" w:tplc="4009000F" w:tentative="1">
      <w:start w:val="1"/>
      <w:numFmt w:val="decimal"/>
      <w:lvlText w:val="%4."/>
      <w:lvlJc w:val="left"/>
      <w:pPr>
        <w:ind w:left="6731" w:hanging="360"/>
      </w:pPr>
    </w:lvl>
    <w:lvl w:ilvl="4" w:tplc="40090019" w:tentative="1">
      <w:start w:val="1"/>
      <w:numFmt w:val="lowerLetter"/>
      <w:lvlText w:val="%5."/>
      <w:lvlJc w:val="left"/>
      <w:pPr>
        <w:ind w:left="7451" w:hanging="360"/>
      </w:pPr>
    </w:lvl>
    <w:lvl w:ilvl="5" w:tplc="4009001B" w:tentative="1">
      <w:start w:val="1"/>
      <w:numFmt w:val="lowerRoman"/>
      <w:lvlText w:val="%6."/>
      <w:lvlJc w:val="right"/>
      <w:pPr>
        <w:ind w:left="8171" w:hanging="180"/>
      </w:pPr>
    </w:lvl>
    <w:lvl w:ilvl="6" w:tplc="4009000F" w:tentative="1">
      <w:start w:val="1"/>
      <w:numFmt w:val="decimal"/>
      <w:lvlText w:val="%7."/>
      <w:lvlJc w:val="left"/>
      <w:pPr>
        <w:ind w:left="8891" w:hanging="360"/>
      </w:pPr>
    </w:lvl>
    <w:lvl w:ilvl="7" w:tplc="40090019" w:tentative="1">
      <w:start w:val="1"/>
      <w:numFmt w:val="lowerLetter"/>
      <w:lvlText w:val="%8."/>
      <w:lvlJc w:val="left"/>
      <w:pPr>
        <w:ind w:left="9611" w:hanging="360"/>
      </w:pPr>
    </w:lvl>
    <w:lvl w:ilvl="8" w:tplc="4009001B" w:tentative="1">
      <w:start w:val="1"/>
      <w:numFmt w:val="lowerRoman"/>
      <w:lvlText w:val="%9."/>
      <w:lvlJc w:val="right"/>
      <w:pPr>
        <w:ind w:left="10331" w:hanging="180"/>
      </w:pPr>
    </w:lvl>
  </w:abstractNum>
  <w:abstractNum w:abstractNumId="3" w15:restartNumberingAfterBreak="0">
    <w:nsid w:val="4EDC04BF"/>
    <w:multiLevelType w:val="hybridMultilevel"/>
    <w:tmpl w:val="8ECA778A"/>
    <w:lvl w:ilvl="0" w:tplc="501A6BBC">
      <w:start w:val="1"/>
      <w:numFmt w:val="decimal"/>
      <w:lvlText w:val="%1."/>
      <w:lvlJc w:val="left"/>
      <w:pPr>
        <w:ind w:left="720" w:hanging="360"/>
      </w:pPr>
      <w:rPr>
        <w:rFonts w:hint="default"/>
        <w:b w:val="0"/>
        <w:i w:val="0"/>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51A85584"/>
    <w:multiLevelType w:val="hybridMultilevel"/>
    <w:tmpl w:val="DC5C5FD4"/>
    <w:lvl w:ilvl="0" w:tplc="5EDECBA4">
      <w:start w:val="1"/>
      <w:numFmt w:val="decimal"/>
      <w:lvlText w:val="%1."/>
      <w:lvlJc w:val="left"/>
      <w:pPr>
        <w:ind w:left="405" w:hanging="360"/>
      </w:pPr>
      <w:rPr>
        <w:rFonts w:hint="default"/>
      </w:rPr>
    </w:lvl>
    <w:lvl w:ilvl="1" w:tplc="40090019" w:tentative="1">
      <w:start w:val="1"/>
      <w:numFmt w:val="lowerLetter"/>
      <w:lvlText w:val="%2."/>
      <w:lvlJc w:val="left"/>
      <w:pPr>
        <w:ind w:left="1125" w:hanging="360"/>
      </w:pPr>
    </w:lvl>
    <w:lvl w:ilvl="2" w:tplc="4009001B" w:tentative="1">
      <w:start w:val="1"/>
      <w:numFmt w:val="lowerRoman"/>
      <w:lvlText w:val="%3."/>
      <w:lvlJc w:val="right"/>
      <w:pPr>
        <w:ind w:left="1845" w:hanging="180"/>
      </w:pPr>
    </w:lvl>
    <w:lvl w:ilvl="3" w:tplc="4009000F" w:tentative="1">
      <w:start w:val="1"/>
      <w:numFmt w:val="decimal"/>
      <w:lvlText w:val="%4."/>
      <w:lvlJc w:val="left"/>
      <w:pPr>
        <w:ind w:left="2565" w:hanging="360"/>
      </w:pPr>
    </w:lvl>
    <w:lvl w:ilvl="4" w:tplc="40090019" w:tentative="1">
      <w:start w:val="1"/>
      <w:numFmt w:val="lowerLetter"/>
      <w:lvlText w:val="%5."/>
      <w:lvlJc w:val="left"/>
      <w:pPr>
        <w:ind w:left="3285" w:hanging="360"/>
      </w:pPr>
    </w:lvl>
    <w:lvl w:ilvl="5" w:tplc="4009001B" w:tentative="1">
      <w:start w:val="1"/>
      <w:numFmt w:val="lowerRoman"/>
      <w:lvlText w:val="%6."/>
      <w:lvlJc w:val="right"/>
      <w:pPr>
        <w:ind w:left="4005" w:hanging="180"/>
      </w:pPr>
    </w:lvl>
    <w:lvl w:ilvl="6" w:tplc="4009000F" w:tentative="1">
      <w:start w:val="1"/>
      <w:numFmt w:val="decimal"/>
      <w:lvlText w:val="%7."/>
      <w:lvlJc w:val="left"/>
      <w:pPr>
        <w:ind w:left="4725" w:hanging="360"/>
      </w:pPr>
    </w:lvl>
    <w:lvl w:ilvl="7" w:tplc="40090019" w:tentative="1">
      <w:start w:val="1"/>
      <w:numFmt w:val="lowerLetter"/>
      <w:lvlText w:val="%8."/>
      <w:lvlJc w:val="left"/>
      <w:pPr>
        <w:ind w:left="5445" w:hanging="360"/>
      </w:pPr>
    </w:lvl>
    <w:lvl w:ilvl="8" w:tplc="4009001B" w:tentative="1">
      <w:start w:val="1"/>
      <w:numFmt w:val="lowerRoman"/>
      <w:lvlText w:val="%9."/>
      <w:lvlJc w:val="right"/>
      <w:pPr>
        <w:ind w:left="6165" w:hanging="180"/>
      </w:pPr>
    </w:lvl>
  </w:abstractNum>
  <w:abstractNum w:abstractNumId="5" w15:restartNumberingAfterBreak="0">
    <w:nsid w:val="52F11F48"/>
    <w:multiLevelType w:val="hybridMultilevel"/>
    <w:tmpl w:val="9D789CA4"/>
    <w:lvl w:ilvl="0" w:tplc="9C945692">
      <w:start w:val="1"/>
      <w:numFmt w:val="lowerLetter"/>
      <w:lvlText w:val="%1."/>
      <w:lvlJc w:val="left"/>
      <w:pPr>
        <w:ind w:left="765" w:hanging="360"/>
      </w:pPr>
      <w:rPr>
        <w:rFonts w:hint="default"/>
      </w:rPr>
    </w:lvl>
    <w:lvl w:ilvl="1" w:tplc="40090019" w:tentative="1">
      <w:start w:val="1"/>
      <w:numFmt w:val="lowerLetter"/>
      <w:lvlText w:val="%2."/>
      <w:lvlJc w:val="left"/>
      <w:pPr>
        <w:ind w:left="1485" w:hanging="360"/>
      </w:pPr>
    </w:lvl>
    <w:lvl w:ilvl="2" w:tplc="4009001B" w:tentative="1">
      <w:start w:val="1"/>
      <w:numFmt w:val="lowerRoman"/>
      <w:lvlText w:val="%3."/>
      <w:lvlJc w:val="right"/>
      <w:pPr>
        <w:ind w:left="2205" w:hanging="180"/>
      </w:pPr>
    </w:lvl>
    <w:lvl w:ilvl="3" w:tplc="4009000F" w:tentative="1">
      <w:start w:val="1"/>
      <w:numFmt w:val="decimal"/>
      <w:lvlText w:val="%4."/>
      <w:lvlJc w:val="left"/>
      <w:pPr>
        <w:ind w:left="2925" w:hanging="360"/>
      </w:pPr>
    </w:lvl>
    <w:lvl w:ilvl="4" w:tplc="40090019" w:tentative="1">
      <w:start w:val="1"/>
      <w:numFmt w:val="lowerLetter"/>
      <w:lvlText w:val="%5."/>
      <w:lvlJc w:val="left"/>
      <w:pPr>
        <w:ind w:left="3645" w:hanging="360"/>
      </w:pPr>
    </w:lvl>
    <w:lvl w:ilvl="5" w:tplc="4009001B" w:tentative="1">
      <w:start w:val="1"/>
      <w:numFmt w:val="lowerRoman"/>
      <w:lvlText w:val="%6."/>
      <w:lvlJc w:val="right"/>
      <w:pPr>
        <w:ind w:left="4365" w:hanging="180"/>
      </w:pPr>
    </w:lvl>
    <w:lvl w:ilvl="6" w:tplc="4009000F" w:tentative="1">
      <w:start w:val="1"/>
      <w:numFmt w:val="decimal"/>
      <w:lvlText w:val="%7."/>
      <w:lvlJc w:val="left"/>
      <w:pPr>
        <w:ind w:left="5085" w:hanging="360"/>
      </w:pPr>
    </w:lvl>
    <w:lvl w:ilvl="7" w:tplc="40090019" w:tentative="1">
      <w:start w:val="1"/>
      <w:numFmt w:val="lowerLetter"/>
      <w:lvlText w:val="%8."/>
      <w:lvlJc w:val="left"/>
      <w:pPr>
        <w:ind w:left="5805" w:hanging="360"/>
      </w:pPr>
    </w:lvl>
    <w:lvl w:ilvl="8" w:tplc="4009001B" w:tentative="1">
      <w:start w:val="1"/>
      <w:numFmt w:val="lowerRoman"/>
      <w:lvlText w:val="%9."/>
      <w:lvlJc w:val="right"/>
      <w:pPr>
        <w:ind w:left="6525" w:hanging="180"/>
      </w:pPr>
    </w:lvl>
  </w:abstractNum>
  <w:abstractNum w:abstractNumId="6" w15:restartNumberingAfterBreak="0">
    <w:nsid w:val="6CC10333"/>
    <w:multiLevelType w:val="hybridMultilevel"/>
    <w:tmpl w:val="6FA8FAFC"/>
    <w:lvl w:ilvl="0" w:tplc="545C9DA8">
      <w:start w:val="1"/>
      <w:numFmt w:val="decimal"/>
      <w:lvlText w:val="%1."/>
      <w:lvlJc w:val="left"/>
      <w:pPr>
        <w:ind w:left="720" w:hanging="360"/>
      </w:pPr>
      <w:rPr>
        <w:rFonts w:hint="default"/>
        <w:color w:val="FF0000"/>
      </w:rPr>
    </w:lvl>
    <w:lvl w:ilvl="1" w:tplc="54EE9586">
      <w:start w:val="1"/>
      <w:numFmt w:val="lowerLetter"/>
      <w:lvlText w:val="%2."/>
      <w:lvlJc w:val="left"/>
      <w:pPr>
        <w:ind w:left="1440" w:hanging="360"/>
      </w:pPr>
      <w:rPr>
        <w:strike w:val="0"/>
      </w:rPr>
    </w:lvl>
    <w:lvl w:ilvl="2" w:tplc="4009001B">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757302FD"/>
    <w:multiLevelType w:val="hybridMultilevel"/>
    <w:tmpl w:val="C73015F6"/>
    <w:lvl w:ilvl="0" w:tplc="713C7218">
      <w:start w:val="1"/>
      <w:numFmt w:val="decimal"/>
      <w:lvlText w:val="%1."/>
      <w:lvlJc w:val="left"/>
      <w:pPr>
        <w:ind w:left="360" w:hanging="360"/>
      </w:pPr>
      <w:rPr>
        <w:rFonts w:hint="default"/>
        <w:b/>
        <w:bCs/>
        <w:color w:val="FF0000"/>
      </w:rPr>
    </w:lvl>
    <w:lvl w:ilvl="1" w:tplc="40090019">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8" w15:restartNumberingAfterBreak="0">
    <w:nsid w:val="7C9F4086"/>
    <w:multiLevelType w:val="hybridMultilevel"/>
    <w:tmpl w:val="A204044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534926539">
    <w:abstractNumId w:val="0"/>
  </w:num>
  <w:num w:numId="2" w16cid:durableId="596403035">
    <w:abstractNumId w:val="8"/>
  </w:num>
  <w:num w:numId="3" w16cid:durableId="415051761">
    <w:abstractNumId w:val="7"/>
  </w:num>
  <w:num w:numId="4" w16cid:durableId="1285118407">
    <w:abstractNumId w:val="4"/>
  </w:num>
  <w:num w:numId="5" w16cid:durableId="1616137943">
    <w:abstractNumId w:val="5"/>
  </w:num>
  <w:num w:numId="6" w16cid:durableId="4290388">
    <w:abstractNumId w:val="3"/>
  </w:num>
  <w:num w:numId="7" w16cid:durableId="667443371">
    <w:abstractNumId w:val="2"/>
  </w:num>
  <w:num w:numId="8" w16cid:durableId="1358774431">
    <w:abstractNumId w:val="6"/>
  </w:num>
  <w:num w:numId="9" w16cid:durableId="12859673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34085"/>
    <w:rsid w:val="00005754"/>
    <w:rsid w:val="000101FA"/>
    <w:rsid w:val="0002037C"/>
    <w:rsid w:val="00083F0B"/>
    <w:rsid w:val="000F7639"/>
    <w:rsid w:val="001044B6"/>
    <w:rsid w:val="001216C1"/>
    <w:rsid w:val="00156EE1"/>
    <w:rsid w:val="00184FE3"/>
    <w:rsid w:val="00187062"/>
    <w:rsid w:val="001C4208"/>
    <w:rsid w:val="001F1ED2"/>
    <w:rsid w:val="002056C9"/>
    <w:rsid w:val="002301D5"/>
    <w:rsid w:val="00242946"/>
    <w:rsid w:val="00243C53"/>
    <w:rsid w:val="00281A56"/>
    <w:rsid w:val="00286575"/>
    <w:rsid w:val="002A0985"/>
    <w:rsid w:val="002A657A"/>
    <w:rsid w:val="002C63AC"/>
    <w:rsid w:val="00342A2D"/>
    <w:rsid w:val="003533EB"/>
    <w:rsid w:val="003803CE"/>
    <w:rsid w:val="0038704B"/>
    <w:rsid w:val="003A1649"/>
    <w:rsid w:val="003B1CE6"/>
    <w:rsid w:val="003D332D"/>
    <w:rsid w:val="003E2BD4"/>
    <w:rsid w:val="003E5085"/>
    <w:rsid w:val="00405012"/>
    <w:rsid w:val="004111FF"/>
    <w:rsid w:val="004128EE"/>
    <w:rsid w:val="00443616"/>
    <w:rsid w:val="004816AE"/>
    <w:rsid w:val="00486BDF"/>
    <w:rsid w:val="0049235A"/>
    <w:rsid w:val="004A2FA1"/>
    <w:rsid w:val="004D7486"/>
    <w:rsid w:val="005D2140"/>
    <w:rsid w:val="005E586D"/>
    <w:rsid w:val="005E692D"/>
    <w:rsid w:val="005E6FC1"/>
    <w:rsid w:val="00603484"/>
    <w:rsid w:val="00623A37"/>
    <w:rsid w:val="00642D6E"/>
    <w:rsid w:val="00647F75"/>
    <w:rsid w:val="00676314"/>
    <w:rsid w:val="006C020E"/>
    <w:rsid w:val="006C540F"/>
    <w:rsid w:val="006C641B"/>
    <w:rsid w:val="006E1866"/>
    <w:rsid w:val="00704E95"/>
    <w:rsid w:val="00734085"/>
    <w:rsid w:val="0073596B"/>
    <w:rsid w:val="007A570C"/>
    <w:rsid w:val="007B2F9A"/>
    <w:rsid w:val="007D3739"/>
    <w:rsid w:val="007E2FE0"/>
    <w:rsid w:val="007F1CAF"/>
    <w:rsid w:val="007F1EDC"/>
    <w:rsid w:val="007F3375"/>
    <w:rsid w:val="00825128"/>
    <w:rsid w:val="008A6AE3"/>
    <w:rsid w:val="008D688B"/>
    <w:rsid w:val="008E1CEA"/>
    <w:rsid w:val="008E56CB"/>
    <w:rsid w:val="008F7136"/>
    <w:rsid w:val="009220C8"/>
    <w:rsid w:val="00943498"/>
    <w:rsid w:val="00965CE2"/>
    <w:rsid w:val="00985062"/>
    <w:rsid w:val="009A088F"/>
    <w:rsid w:val="009A2A54"/>
    <w:rsid w:val="009D6530"/>
    <w:rsid w:val="009E0531"/>
    <w:rsid w:val="00A3726B"/>
    <w:rsid w:val="00A5356A"/>
    <w:rsid w:val="00A6097D"/>
    <w:rsid w:val="00A76423"/>
    <w:rsid w:val="00AD1AB3"/>
    <w:rsid w:val="00AF4E4D"/>
    <w:rsid w:val="00B24211"/>
    <w:rsid w:val="00B34E07"/>
    <w:rsid w:val="00B52A6E"/>
    <w:rsid w:val="00B53DF8"/>
    <w:rsid w:val="00B60422"/>
    <w:rsid w:val="00B66123"/>
    <w:rsid w:val="00BE4011"/>
    <w:rsid w:val="00BE45DB"/>
    <w:rsid w:val="00BE5215"/>
    <w:rsid w:val="00BF050E"/>
    <w:rsid w:val="00BF20D2"/>
    <w:rsid w:val="00C019DD"/>
    <w:rsid w:val="00C22C7A"/>
    <w:rsid w:val="00C33B59"/>
    <w:rsid w:val="00C43D8B"/>
    <w:rsid w:val="00C46549"/>
    <w:rsid w:val="00C4661A"/>
    <w:rsid w:val="00C9433E"/>
    <w:rsid w:val="00C96C1F"/>
    <w:rsid w:val="00CA7430"/>
    <w:rsid w:val="00CC6903"/>
    <w:rsid w:val="00CF1F78"/>
    <w:rsid w:val="00D10FE2"/>
    <w:rsid w:val="00D31A37"/>
    <w:rsid w:val="00D43E5F"/>
    <w:rsid w:val="00D61DE2"/>
    <w:rsid w:val="00DB52F2"/>
    <w:rsid w:val="00DC74EB"/>
    <w:rsid w:val="00E265A0"/>
    <w:rsid w:val="00E30A1B"/>
    <w:rsid w:val="00E44EA8"/>
    <w:rsid w:val="00E4675F"/>
    <w:rsid w:val="00E679F0"/>
    <w:rsid w:val="00EA5BD4"/>
    <w:rsid w:val="00EA65FB"/>
    <w:rsid w:val="00EE7A87"/>
    <w:rsid w:val="00F263A3"/>
    <w:rsid w:val="00F43AD9"/>
    <w:rsid w:val="00F63852"/>
    <w:rsid w:val="00F770FA"/>
    <w:rsid w:val="00FA394D"/>
    <w:rsid w:val="00FA56A3"/>
    <w:rsid w:val="00FC1055"/>
    <w:rsid w:val="00FF320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24EDE1"/>
  <w15:docId w15:val="{714C7FF4-81FA-4E36-A850-6830A031CE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216C1"/>
    <w:pPr>
      <w:ind w:left="720"/>
      <w:contextualSpacing/>
    </w:pPr>
  </w:style>
  <w:style w:type="paragraph" w:styleId="NormalWeb">
    <w:name w:val="Normal (Web)"/>
    <w:basedOn w:val="Normal"/>
    <w:uiPriority w:val="99"/>
    <w:semiHidden/>
    <w:unhideWhenUsed/>
    <w:rsid w:val="003803CE"/>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styleId="BalloonText">
    <w:name w:val="Balloon Text"/>
    <w:basedOn w:val="Normal"/>
    <w:link w:val="BalloonTextChar"/>
    <w:uiPriority w:val="99"/>
    <w:semiHidden/>
    <w:unhideWhenUsed/>
    <w:rsid w:val="00C4661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4661A"/>
    <w:rPr>
      <w:rFonts w:ascii="Tahoma" w:hAnsi="Tahoma" w:cs="Tahoma"/>
      <w:sz w:val="16"/>
      <w:szCs w:val="16"/>
    </w:rPr>
  </w:style>
  <w:style w:type="paragraph" w:styleId="Header">
    <w:name w:val="header"/>
    <w:basedOn w:val="Normal"/>
    <w:link w:val="HeaderChar"/>
    <w:uiPriority w:val="99"/>
    <w:unhideWhenUsed/>
    <w:rsid w:val="00C4661A"/>
    <w:pPr>
      <w:tabs>
        <w:tab w:val="center" w:pos="4513"/>
        <w:tab w:val="right" w:pos="9026"/>
      </w:tabs>
      <w:spacing w:after="0" w:line="240" w:lineRule="auto"/>
    </w:pPr>
  </w:style>
  <w:style w:type="character" w:customStyle="1" w:styleId="HeaderChar">
    <w:name w:val="Header Char"/>
    <w:basedOn w:val="DefaultParagraphFont"/>
    <w:link w:val="Header"/>
    <w:uiPriority w:val="99"/>
    <w:rsid w:val="00C4661A"/>
  </w:style>
  <w:style w:type="paragraph" w:styleId="Footer">
    <w:name w:val="footer"/>
    <w:basedOn w:val="Normal"/>
    <w:link w:val="FooterChar"/>
    <w:uiPriority w:val="99"/>
    <w:unhideWhenUsed/>
    <w:rsid w:val="00C4661A"/>
    <w:pPr>
      <w:tabs>
        <w:tab w:val="center" w:pos="4513"/>
        <w:tab w:val="right" w:pos="9026"/>
      </w:tabs>
      <w:spacing w:after="0" w:line="240" w:lineRule="auto"/>
    </w:pPr>
  </w:style>
  <w:style w:type="character" w:customStyle="1" w:styleId="FooterChar">
    <w:name w:val="Footer Char"/>
    <w:basedOn w:val="DefaultParagraphFont"/>
    <w:link w:val="Footer"/>
    <w:uiPriority w:val="99"/>
    <w:rsid w:val="00C4661A"/>
  </w:style>
  <w:style w:type="paragraph" w:styleId="BodyText">
    <w:name w:val="Body Text"/>
    <w:basedOn w:val="Normal"/>
    <w:link w:val="BodyTextChar"/>
    <w:uiPriority w:val="1"/>
    <w:unhideWhenUsed/>
    <w:qFormat/>
    <w:rsid w:val="00156EE1"/>
    <w:pPr>
      <w:widowControl w:val="0"/>
      <w:autoSpaceDE w:val="0"/>
      <w:autoSpaceDN w:val="0"/>
      <w:spacing w:after="0" w:line="240" w:lineRule="auto"/>
    </w:pPr>
    <w:rPr>
      <w:rFonts w:ascii="Times New Roman" w:eastAsia="Times New Roman" w:hAnsi="Times New Roman" w:cs="Times New Roman"/>
      <w:sz w:val="28"/>
      <w:szCs w:val="28"/>
      <w:lang w:val="en-US"/>
    </w:rPr>
  </w:style>
  <w:style w:type="character" w:customStyle="1" w:styleId="BodyTextChar">
    <w:name w:val="Body Text Char"/>
    <w:basedOn w:val="DefaultParagraphFont"/>
    <w:link w:val="BodyText"/>
    <w:uiPriority w:val="1"/>
    <w:rsid w:val="00156EE1"/>
    <w:rPr>
      <w:rFonts w:ascii="Times New Roman" w:eastAsia="Times New Roman" w:hAnsi="Times New Roman" w:cs="Times New Roman"/>
      <w:sz w:val="28"/>
      <w:szCs w:val="2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659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29B4B7-27AA-424E-ABF8-AC682D3AFC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TotalTime>
  <Pages>16</Pages>
  <Words>3862</Words>
  <Characters>22020</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 Dave</dc:creator>
  <cp:lastModifiedBy>Kunj Patel</cp:lastModifiedBy>
  <cp:revision>122</cp:revision>
  <cp:lastPrinted>2023-05-09T09:21:00Z</cp:lastPrinted>
  <dcterms:created xsi:type="dcterms:W3CDTF">2023-05-09T08:15:00Z</dcterms:created>
  <dcterms:modified xsi:type="dcterms:W3CDTF">2023-05-09T12:13:00Z</dcterms:modified>
</cp:coreProperties>
</file>