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C34" w:rsidRPr="001A3A9F" w:rsidRDefault="0036551B" w:rsidP="00CF616E">
      <w:pPr>
        <w:pStyle w:val="ListParagraph"/>
        <w:numPr>
          <w:ilvl w:val="0"/>
          <w:numId w:val="3"/>
        </w:numPr>
        <w:ind w:left="426" w:hanging="426"/>
        <w:jc w:val="both"/>
        <w:rPr>
          <w:rFonts w:ascii="Bookman Old Style" w:hAnsi="Bookman Old Style"/>
          <w:b/>
          <w:bCs/>
        </w:rPr>
      </w:pPr>
      <w:r>
        <w:rPr>
          <w:rFonts w:ascii="Bookman Old Style" w:hAnsi="Bookman Old Style"/>
          <w:b/>
          <w:bCs/>
        </w:rPr>
        <w:t>NATURE</w:t>
      </w:r>
      <w:r w:rsidR="00376981" w:rsidRPr="001A3A9F">
        <w:rPr>
          <w:rFonts w:ascii="Bookman Old Style" w:hAnsi="Bookman Old Style"/>
          <w:b/>
          <w:bCs/>
        </w:rPr>
        <w:t xml:space="preserve"> OF </w:t>
      </w:r>
      <w:r w:rsidR="00741790" w:rsidRPr="001A3A9F">
        <w:rPr>
          <w:rFonts w:ascii="Bookman Old Style" w:hAnsi="Bookman Old Style"/>
          <w:b/>
          <w:bCs/>
        </w:rPr>
        <w:t xml:space="preserve">THREE </w:t>
      </w:r>
      <w:r w:rsidR="00376981" w:rsidRPr="001A3A9F">
        <w:rPr>
          <w:rFonts w:ascii="Bookman Old Style" w:hAnsi="Bookman Old Style"/>
          <w:b/>
          <w:bCs/>
        </w:rPr>
        <w:t xml:space="preserve">CHARGES </w:t>
      </w:r>
      <w:r w:rsidR="00CF616E">
        <w:rPr>
          <w:rFonts w:ascii="Bookman Old Style" w:hAnsi="Bookman Old Style"/>
          <w:b/>
          <w:bCs/>
        </w:rPr>
        <w:t>LEVELLED</w:t>
      </w:r>
      <w:r w:rsidR="001734DE">
        <w:rPr>
          <w:rFonts w:ascii="Bookman Old Style" w:hAnsi="Bookman Old Style"/>
          <w:b/>
          <w:bCs/>
        </w:rPr>
        <w:t xml:space="preserve"> </w:t>
      </w:r>
      <w:r w:rsidR="001A3A9F" w:rsidRPr="001A3A9F">
        <w:rPr>
          <w:rFonts w:ascii="Bookman Old Style" w:hAnsi="Bookman Old Style"/>
          <w:b/>
          <w:bCs/>
        </w:rPr>
        <w:t>VIDE MEMO</w:t>
      </w:r>
      <w:r>
        <w:rPr>
          <w:rFonts w:ascii="Bookman Old Style" w:hAnsi="Bookman Old Style"/>
          <w:b/>
          <w:bCs/>
        </w:rPr>
        <w:t>RANDUM OF CHARGES</w:t>
      </w:r>
      <w:r w:rsidR="001A3A9F" w:rsidRPr="001A3A9F">
        <w:rPr>
          <w:rFonts w:ascii="Bookman Old Style" w:hAnsi="Bookman Old Style"/>
          <w:b/>
          <w:bCs/>
        </w:rPr>
        <w:t xml:space="preserve"> DATED 01.03.2021</w:t>
      </w:r>
      <w:r w:rsidR="00376981" w:rsidRPr="001A3A9F">
        <w:rPr>
          <w:rFonts w:ascii="Bookman Old Style" w:hAnsi="Bookman Old Style"/>
          <w:b/>
          <w:bCs/>
        </w:rPr>
        <w:t>:</w:t>
      </w:r>
    </w:p>
    <w:p w:rsidR="00741790" w:rsidRPr="00741790" w:rsidRDefault="00741790" w:rsidP="00741790">
      <w:pPr>
        <w:pStyle w:val="ListParagraph"/>
        <w:ind w:left="426"/>
        <w:rPr>
          <w:b/>
          <w:bCs/>
        </w:rPr>
      </w:pPr>
    </w:p>
    <w:p w:rsidR="00376981" w:rsidRPr="00A84368" w:rsidRDefault="00376981" w:rsidP="00A84368">
      <w:pPr>
        <w:pStyle w:val="ListParagraph"/>
        <w:numPr>
          <w:ilvl w:val="0"/>
          <w:numId w:val="8"/>
        </w:numPr>
        <w:autoSpaceDE w:val="0"/>
        <w:autoSpaceDN w:val="0"/>
        <w:spacing w:after="0" w:line="276" w:lineRule="auto"/>
        <w:jc w:val="both"/>
        <w:rPr>
          <w:rFonts w:ascii="Bookman Old Style" w:hAnsi="Bookman Old Style"/>
        </w:rPr>
      </w:pPr>
      <w:r w:rsidRPr="00A84368">
        <w:rPr>
          <w:rFonts w:ascii="Bookman Old Style" w:hAnsi="Bookman Old Style"/>
        </w:rPr>
        <w:t xml:space="preserve">It is </w:t>
      </w:r>
      <w:r w:rsidR="0036551B">
        <w:rPr>
          <w:rFonts w:ascii="Bookman Old Style" w:hAnsi="Bookman Old Style"/>
        </w:rPr>
        <w:t>alleged</w:t>
      </w:r>
      <w:r w:rsidR="00BF792C" w:rsidRPr="00A84368">
        <w:rPr>
          <w:rFonts w:ascii="Bookman Old Style" w:hAnsi="Bookman Old Style"/>
        </w:rPr>
        <w:t xml:space="preserve"> </w:t>
      </w:r>
      <w:r w:rsidRPr="00A84368">
        <w:rPr>
          <w:rFonts w:ascii="Bookman Old Style" w:hAnsi="Bookman Old Style"/>
        </w:rPr>
        <w:t xml:space="preserve">that no deviation meeting was held </w:t>
      </w:r>
      <w:r w:rsidR="0036551B">
        <w:rPr>
          <w:rFonts w:ascii="Bookman Old Style" w:hAnsi="Bookman Old Style"/>
        </w:rPr>
        <w:t xml:space="preserve">with the Investigation wing who carried out searches and prepared appraisal report forming the basis on which assessment was required to be made against the searched persons. Deviation meeting according to internal instructions of the Department requires to be taken where an Assessing Officer does not propose to make addition </w:t>
      </w:r>
      <w:r w:rsidR="002A7B35">
        <w:rPr>
          <w:rFonts w:ascii="Bookman Old Style" w:hAnsi="Bookman Old Style"/>
        </w:rPr>
        <w:t xml:space="preserve">in the course of final assessment of income of a person in whose case search was conducted under the relevant provisions of the Act in respect of </w:t>
      </w:r>
      <w:r w:rsidR="0036551B">
        <w:rPr>
          <w:rFonts w:ascii="Bookman Old Style" w:hAnsi="Bookman Old Style"/>
        </w:rPr>
        <w:t>certain issues which are included in the appraisal report pre</w:t>
      </w:r>
      <w:r w:rsidR="002A7B35">
        <w:rPr>
          <w:rFonts w:ascii="Bookman Old Style" w:hAnsi="Bookman Old Style"/>
        </w:rPr>
        <w:t>pared by the Investigation wing and the findings/ conclusions drawn on such issues were conclusive. Two</w:t>
      </w:r>
      <w:r w:rsidR="0036551B">
        <w:rPr>
          <w:rFonts w:ascii="Bookman Old Style" w:hAnsi="Bookman Old Style"/>
        </w:rPr>
        <w:t xml:space="preserve"> issues identified</w:t>
      </w:r>
      <w:r w:rsidR="002A7B35">
        <w:rPr>
          <w:rFonts w:ascii="Bookman Old Style" w:hAnsi="Bookman Old Style"/>
        </w:rPr>
        <w:t xml:space="preserve"> in this regard</w:t>
      </w:r>
      <w:r w:rsidR="0036551B">
        <w:rPr>
          <w:rFonts w:ascii="Bookman Old Style" w:hAnsi="Bookman Old Style"/>
        </w:rPr>
        <w:t xml:space="preserve"> </w:t>
      </w:r>
      <w:r w:rsidR="002A7B35">
        <w:rPr>
          <w:rFonts w:ascii="Bookman Old Style" w:hAnsi="Bookman Old Style"/>
        </w:rPr>
        <w:t>by inclusion in</w:t>
      </w:r>
      <w:r w:rsidR="0036551B">
        <w:rPr>
          <w:rFonts w:ascii="Bookman Old Style" w:hAnsi="Bookman Old Style"/>
        </w:rPr>
        <w:t xml:space="preserve"> the memorandum of charges are as under</w:t>
      </w:r>
      <w:r w:rsidR="002A7B35">
        <w:rPr>
          <w:rFonts w:ascii="Bookman Old Style" w:hAnsi="Bookman Old Style"/>
        </w:rPr>
        <w:t>:</w:t>
      </w:r>
    </w:p>
    <w:p w:rsidR="00376981" w:rsidRDefault="00376981" w:rsidP="00A84368">
      <w:pPr>
        <w:pStyle w:val="ListParagraph"/>
        <w:spacing w:line="276" w:lineRule="auto"/>
      </w:pPr>
    </w:p>
    <w:p w:rsidR="002F5AAD" w:rsidRDefault="002F5AAD" w:rsidP="00A84368">
      <w:pPr>
        <w:pStyle w:val="ListParagraph"/>
        <w:numPr>
          <w:ilvl w:val="0"/>
          <w:numId w:val="2"/>
        </w:numPr>
        <w:autoSpaceDE w:val="0"/>
        <w:autoSpaceDN w:val="0"/>
        <w:spacing w:after="0" w:line="276" w:lineRule="auto"/>
        <w:ind w:left="709" w:firstLine="0"/>
        <w:jc w:val="both"/>
        <w:rPr>
          <w:rFonts w:ascii="Bookman Old Style" w:hAnsi="Bookman Old Style"/>
        </w:rPr>
      </w:pPr>
      <w:r w:rsidRPr="002F5AAD">
        <w:rPr>
          <w:rFonts w:ascii="Bookman Old Style" w:hAnsi="Bookman Old Style"/>
        </w:rPr>
        <w:t>During search</w:t>
      </w:r>
      <w:r w:rsidR="0036551B">
        <w:rPr>
          <w:rFonts w:ascii="Bookman Old Style" w:hAnsi="Bookman Old Style"/>
        </w:rPr>
        <w:t>es</w:t>
      </w:r>
      <w:r w:rsidRPr="002F5AAD">
        <w:rPr>
          <w:rFonts w:ascii="Bookman Old Style" w:hAnsi="Bookman Old Style"/>
        </w:rPr>
        <w:t xml:space="preserve"> evidence of Share Application Money of Rs. 45.00 Crore </w:t>
      </w:r>
      <w:r w:rsidR="00703E40">
        <w:rPr>
          <w:rFonts w:ascii="Bookman Old Style" w:hAnsi="Bookman Old Style"/>
        </w:rPr>
        <w:t xml:space="preserve">received by M/s </w:t>
      </w:r>
      <w:r w:rsidR="001A3A9F">
        <w:rPr>
          <w:rFonts w:ascii="Bookman Old Style" w:hAnsi="Bookman Old Style"/>
        </w:rPr>
        <w:t>S</w:t>
      </w:r>
      <w:r w:rsidR="00703E40">
        <w:rPr>
          <w:rFonts w:ascii="Bookman Old Style" w:hAnsi="Bookman Old Style"/>
        </w:rPr>
        <w:t>terling Biotech Ltd</w:t>
      </w:r>
      <w:r w:rsidR="0036551B">
        <w:rPr>
          <w:rFonts w:ascii="Bookman Old Style" w:hAnsi="Bookman Old Style"/>
        </w:rPr>
        <w:t xml:space="preserve"> from various subscribers during the financial year 2004-05</w:t>
      </w:r>
      <w:r w:rsidR="00703E40">
        <w:rPr>
          <w:rFonts w:ascii="Bookman Old Style" w:hAnsi="Bookman Old Style"/>
        </w:rPr>
        <w:t xml:space="preserve"> </w:t>
      </w:r>
      <w:r w:rsidRPr="002F5AAD">
        <w:rPr>
          <w:rFonts w:ascii="Bookman Old Style" w:hAnsi="Bookman Old Style"/>
        </w:rPr>
        <w:t>was found &amp;</w:t>
      </w:r>
      <w:r w:rsidR="001734DE">
        <w:rPr>
          <w:rFonts w:ascii="Bookman Old Style" w:hAnsi="Bookman Old Style"/>
        </w:rPr>
        <w:t xml:space="preserve"> </w:t>
      </w:r>
      <w:r w:rsidR="00136F2C" w:rsidRPr="002F5AAD">
        <w:rPr>
          <w:rFonts w:ascii="Bookman Old Style" w:hAnsi="Bookman Old Style"/>
        </w:rPr>
        <w:t>seized</w:t>
      </w:r>
      <w:r w:rsidR="0036551B">
        <w:rPr>
          <w:rFonts w:ascii="Bookman Old Style" w:hAnsi="Bookman Old Style"/>
        </w:rPr>
        <w:t xml:space="preserve">. It is alleged that and no addition was made by the </w:t>
      </w:r>
      <w:r w:rsidR="009A6161">
        <w:rPr>
          <w:rFonts w:ascii="Bookman Old Style" w:hAnsi="Bookman Old Style"/>
        </w:rPr>
        <w:t xml:space="preserve">in </w:t>
      </w:r>
      <w:r w:rsidR="0036551B">
        <w:rPr>
          <w:rFonts w:ascii="Bookman Old Style" w:hAnsi="Bookman Old Style"/>
        </w:rPr>
        <w:t xml:space="preserve">petitioner though the appraisal report </w:t>
      </w:r>
      <w:r w:rsidR="009A6161">
        <w:rPr>
          <w:rFonts w:ascii="Bookman Old Style" w:hAnsi="Bookman Old Style"/>
        </w:rPr>
        <w:t>contained such a recommendation. Thus, the petitioner failed to follow the procedure of bringing this fact to the notice of the Investigation Wing in a deviation meeting which ought to have been held</w:t>
      </w:r>
      <w:r w:rsidRPr="002F5AAD">
        <w:rPr>
          <w:rFonts w:ascii="Bookman Old Style" w:hAnsi="Bookman Old Style"/>
        </w:rPr>
        <w:t xml:space="preserve"> on the issue</w:t>
      </w:r>
      <w:r w:rsidR="009A6161">
        <w:rPr>
          <w:rFonts w:ascii="Bookman Old Style" w:hAnsi="Bookman Old Style"/>
        </w:rPr>
        <w:t>. This</w:t>
      </w:r>
      <w:r w:rsidRPr="002F5AAD">
        <w:rPr>
          <w:rFonts w:ascii="Bookman Old Style" w:hAnsi="Bookman Old Style"/>
        </w:rPr>
        <w:t xml:space="preserve"> was in clear </w:t>
      </w:r>
      <w:r w:rsidR="009A6161">
        <w:rPr>
          <w:rFonts w:ascii="Bookman Old Style" w:hAnsi="Bookman Old Style"/>
        </w:rPr>
        <w:t>violation from the recommendation contained in the Appraisal Report of the Investigation Wing.</w:t>
      </w:r>
    </w:p>
    <w:p w:rsidR="009A6161" w:rsidRDefault="009A6161" w:rsidP="009A6161">
      <w:pPr>
        <w:pStyle w:val="ListParagraph"/>
        <w:autoSpaceDE w:val="0"/>
        <w:autoSpaceDN w:val="0"/>
        <w:spacing w:after="0" w:line="276" w:lineRule="auto"/>
        <w:ind w:left="709"/>
        <w:jc w:val="both"/>
        <w:rPr>
          <w:rFonts w:ascii="Bookman Old Style" w:hAnsi="Bookman Old Style"/>
        </w:rPr>
      </w:pPr>
      <w:r>
        <w:rPr>
          <w:rFonts w:ascii="Bookman Old Style" w:hAnsi="Bookman Old Style"/>
        </w:rPr>
        <w:t>In this regard, it is stated that searches were conducted during</w:t>
      </w:r>
      <w:r w:rsidR="00930FA1">
        <w:rPr>
          <w:rFonts w:ascii="Bookman Old Style" w:hAnsi="Bookman Old Style"/>
        </w:rPr>
        <w:t xml:space="preserve"> the period from 28.06.2011 to </w:t>
      </w:r>
      <w:r>
        <w:rPr>
          <w:rFonts w:ascii="Bookman Old Style" w:hAnsi="Bookman Old Style"/>
        </w:rPr>
        <w:t xml:space="preserve">24.08.2011 falling within financial year 2011-12. As per the relevant statutory provisions in this regard assessment of income required to be made for the financial year 2005-06 to 2011-12. The Investigation Wing very well knew that </w:t>
      </w:r>
      <w:r w:rsidR="00930FA1">
        <w:rPr>
          <w:rFonts w:ascii="Bookman Old Style" w:hAnsi="Bookman Old Style"/>
        </w:rPr>
        <w:t xml:space="preserve">the </w:t>
      </w:r>
      <w:r>
        <w:rPr>
          <w:rFonts w:ascii="Bookman Old Style" w:hAnsi="Bookman Old Style"/>
        </w:rPr>
        <w:t>assessment of income for the financial year 2004-05 was beyond this period and no addition could have otherwise be</w:t>
      </w:r>
      <w:r w:rsidR="00930FA1">
        <w:rPr>
          <w:rFonts w:ascii="Bookman Old Style" w:hAnsi="Bookman Old Style"/>
        </w:rPr>
        <w:t>en</w:t>
      </w:r>
      <w:r>
        <w:rPr>
          <w:rFonts w:ascii="Bookman Old Style" w:hAnsi="Bookman Old Style"/>
        </w:rPr>
        <w:t xml:space="preserve"> made</w:t>
      </w:r>
      <w:r w:rsidR="00930FA1">
        <w:rPr>
          <w:rFonts w:ascii="Bookman Old Style" w:hAnsi="Bookman Old Style"/>
        </w:rPr>
        <w:t xml:space="preserve">. In such a situation where any action to include the income for the financial year 2004-05 by the petitioner was statutorily barred, what purpose could have been served for a deviation meeting. Even if the Investigation Wing in their own wisdom were eager to assess this money as income, it was impossible not only for the reason that time under the law had lapsed for such an action as well for the reason that share application money being capital could not have been assessed as income of the person.  </w:t>
      </w:r>
    </w:p>
    <w:p w:rsidR="00136F2C" w:rsidRDefault="00930FA1" w:rsidP="00A84368">
      <w:pPr>
        <w:pStyle w:val="ListParagraph"/>
        <w:autoSpaceDE w:val="0"/>
        <w:autoSpaceDN w:val="0"/>
        <w:spacing w:after="0" w:line="276" w:lineRule="auto"/>
        <w:ind w:left="709"/>
        <w:jc w:val="both"/>
        <w:rPr>
          <w:rFonts w:ascii="Bookman Old Style" w:hAnsi="Bookman Old Style"/>
        </w:rPr>
      </w:pPr>
      <w:r>
        <w:rPr>
          <w:rFonts w:ascii="Bookman Old Style" w:hAnsi="Bookman Old Style"/>
        </w:rPr>
        <w:t>Such a position in law for the financial year 2004-05 is well established and settled by the judgments of Hon’ble Supreme Court of India. The inclusion of such a charge in th</w:t>
      </w:r>
      <w:r w:rsidR="00727DC5">
        <w:rPr>
          <w:rFonts w:ascii="Bookman Old Style" w:hAnsi="Bookman Old Style"/>
        </w:rPr>
        <w:t>e</w:t>
      </w:r>
      <w:r>
        <w:rPr>
          <w:rFonts w:ascii="Bookman Old Style" w:hAnsi="Bookman Old Style"/>
        </w:rPr>
        <w:t xml:space="preserve"> memorandum of charges is nothing but harassment of the petitioner with a motive to harm his career</w:t>
      </w:r>
      <w:r w:rsidR="004123C5">
        <w:rPr>
          <w:rFonts w:ascii="Bookman Old Style" w:hAnsi="Bookman Old Style"/>
        </w:rPr>
        <w:t xml:space="preserve"> in future</w:t>
      </w:r>
      <w:r>
        <w:rPr>
          <w:rFonts w:ascii="Bookman Old Style" w:hAnsi="Bookman Old Style"/>
        </w:rPr>
        <w:t xml:space="preserve">. </w:t>
      </w:r>
    </w:p>
    <w:p w:rsidR="006A4D1B" w:rsidRDefault="006A4D1B" w:rsidP="006A4D1B">
      <w:pPr>
        <w:pStyle w:val="ListParagraph"/>
        <w:numPr>
          <w:ilvl w:val="0"/>
          <w:numId w:val="2"/>
        </w:numPr>
        <w:autoSpaceDE w:val="0"/>
        <w:autoSpaceDN w:val="0"/>
        <w:spacing w:after="0" w:line="276" w:lineRule="auto"/>
        <w:ind w:left="709" w:firstLine="0"/>
        <w:jc w:val="both"/>
        <w:rPr>
          <w:rFonts w:ascii="Bookman Old Style" w:hAnsi="Bookman Old Style"/>
        </w:rPr>
      </w:pPr>
      <w:r>
        <w:rPr>
          <w:rFonts w:ascii="Bookman Old Style" w:hAnsi="Bookman Old Style"/>
        </w:rPr>
        <w:t>In the Appraisal Report of the Investigation Wing, it was recommended that the claim of deduction</w:t>
      </w:r>
      <w:r w:rsidR="002A7B35">
        <w:rPr>
          <w:rFonts w:ascii="Bookman Old Style" w:hAnsi="Bookman Old Style"/>
        </w:rPr>
        <w:t xml:space="preserve"> under section 10B of the Act</w:t>
      </w:r>
      <w:r>
        <w:rPr>
          <w:rFonts w:ascii="Bookman Old Style" w:hAnsi="Bookman Old Style"/>
        </w:rPr>
        <w:t xml:space="preserve"> may be re-examined in view of certain facts which came to the notice of the Wing at the time of search.</w:t>
      </w:r>
      <w:r w:rsidR="002A7B35">
        <w:rPr>
          <w:rFonts w:ascii="Bookman Old Style" w:hAnsi="Bookman Old Style"/>
        </w:rPr>
        <w:t xml:space="preserve"> Section 10B of the Act is a special provision in respect of a newly established hundred per cent export oriented undertaking.</w:t>
      </w:r>
      <w:r w:rsidR="00136F2C" w:rsidRPr="002F5AAD">
        <w:rPr>
          <w:rFonts w:ascii="Bookman Old Style" w:hAnsi="Bookman Old Style"/>
        </w:rPr>
        <w:t xml:space="preserve"> </w:t>
      </w:r>
      <w:r>
        <w:rPr>
          <w:rFonts w:ascii="Bookman Old Style" w:hAnsi="Bookman Old Style"/>
        </w:rPr>
        <w:t xml:space="preserve">It was thus recommended that in </w:t>
      </w:r>
      <w:r w:rsidR="002A7B35">
        <w:rPr>
          <w:rFonts w:ascii="Bookman Old Style" w:hAnsi="Bookman Old Style"/>
        </w:rPr>
        <w:t>view of the</w:t>
      </w:r>
      <w:r>
        <w:rPr>
          <w:rFonts w:ascii="Bookman Old Style" w:hAnsi="Bookman Old Style"/>
        </w:rPr>
        <w:t xml:space="preserve"> facts</w:t>
      </w:r>
      <w:r w:rsidR="002A7B35">
        <w:rPr>
          <w:rFonts w:ascii="Bookman Old Style" w:hAnsi="Bookman Old Style"/>
        </w:rPr>
        <w:t xml:space="preserve"> found,</w:t>
      </w:r>
      <w:r>
        <w:rPr>
          <w:rFonts w:ascii="Bookman Old Style" w:hAnsi="Bookman Old Style"/>
        </w:rPr>
        <w:t xml:space="preserve"> the claim could be re-</w:t>
      </w:r>
      <w:r>
        <w:rPr>
          <w:rFonts w:ascii="Bookman Old Style" w:hAnsi="Bookman Old Style"/>
        </w:rPr>
        <w:lastRenderedPageBreak/>
        <w:t xml:space="preserve">examined. It is alleged that </w:t>
      </w:r>
      <w:r w:rsidR="007D6150">
        <w:rPr>
          <w:rFonts w:ascii="Bookman Old Style" w:hAnsi="Bookman Old Style"/>
        </w:rPr>
        <w:t xml:space="preserve">the </w:t>
      </w:r>
      <w:r>
        <w:rPr>
          <w:rFonts w:ascii="Bookman Old Style" w:hAnsi="Bookman Old Style"/>
        </w:rPr>
        <w:t xml:space="preserve">claim of deduction was allowed contrary to the recommendation of the Investigation Wing but the petitioner failed to propose deviation meeting which was necessary where he deviated from the recommendation of the Wing. </w:t>
      </w:r>
    </w:p>
    <w:p w:rsidR="007D6150" w:rsidRDefault="00196E17" w:rsidP="00196E17">
      <w:pPr>
        <w:pStyle w:val="ListParagraph"/>
        <w:autoSpaceDE w:val="0"/>
        <w:autoSpaceDN w:val="0"/>
        <w:spacing w:after="0" w:line="276" w:lineRule="auto"/>
        <w:ind w:left="709"/>
        <w:jc w:val="both"/>
        <w:rPr>
          <w:rFonts w:ascii="Bookman Old Style" w:hAnsi="Bookman Old Style"/>
        </w:rPr>
      </w:pPr>
      <w:r>
        <w:rPr>
          <w:rFonts w:ascii="Bookman Old Style" w:hAnsi="Bookman Old Style"/>
        </w:rPr>
        <w:t>In this regard, it would be pertinent to refer to the recommendation of the Investigation Wing in the appraisal report wherein it can be noticed there was no clear finding on the basis of concrete irrefutable evidence recovered in the course of searches. A deviation meeting</w:t>
      </w:r>
      <w:r w:rsidR="007D6150">
        <w:rPr>
          <w:rFonts w:ascii="Bookman Old Style" w:hAnsi="Bookman Old Style"/>
        </w:rPr>
        <w:t xml:space="preserve"> according to the </w:t>
      </w:r>
      <w:proofErr w:type="spellStart"/>
      <w:r w:rsidR="007D6150">
        <w:rPr>
          <w:rFonts w:ascii="Bookman Old Style" w:hAnsi="Bookman Old Style"/>
        </w:rPr>
        <w:t>xtant</w:t>
      </w:r>
      <w:proofErr w:type="spellEnd"/>
      <w:r w:rsidR="007D6150">
        <w:rPr>
          <w:rFonts w:ascii="Bookman Old Style" w:hAnsi="Bookman Old Style"/>
        </w:rPr>
        <w:t xml:space="preserve"> instructions prevailing at the contemporary time</w:t>
      </w:r>
      <w:r>
        <w:rPr>
          <w:rFonts w:ascii="Bookman Old Style" w:hAnsi="Bookman Old Style"/>
        </w:rPr>
        <w:t xml:space="preserve"> was required only where a positive finding is given on the basis of evidence re</w:t>
      </w:r>
      <w:r w:rsidR="007D6150">
        <w:rPr>
          <w:rFonts w:ascii="Bookman Old Style" w:hAnsi="Bookman Old Style"/>
        </w:rPr>
        <w:t>covered in the course of search and such findings are conclusive as per the recommendation of the Investigation Wing.</w:t>
      </w:r>
      <w:r>
        <w:rPr>
          <w:rFonts w:ascii="Bookman Old Style" w:hAnsi="Bookman Old Style"/>
        </w:rPr>
        <w:t xml:space="preserve"> Since the recommendation was only re-examination of the claim</w:t>
      </w:r>
      <w:r w:rsidR="007D6150">
        <w:rPr>
          <w:rFonts w:ascii="Bookman Old Style" w:hAnsi="Bookman Old Style"/>
        </w:rPr>
        <w:t xml:space="preserve"> with no conclusive finding</w:t>
      </w:r>
      <w:r>
        <w:rPr>
          <w:rFonts w:ascii="Bookman Old Style" w:hAnsi="Bookman Old Style"/>
        </w:rPr>
        <w:t xml:space="preserve">, the petitioner was under a bonafide belief that the procedure of deviation meeting was not necessary. The allegation against the petitioner is only </w:t>
      </w:r>
      <w:r w:rsidR="00C4117B">
        <w:rPr>
          <w:rFonts w:ascii="Bookman Old Style" w:hAnsi="Bookman Old Style"/>
        </w:rPr>
        <w:t xml:space="preserve">to this extent that deviation meeting was not held. It is a fact that as per recommendation of the Investigation wing, the claim of deduction was re-examined in its entirety and it was found that even the recommendation of re-examination by the Wing was improper and full of confusion on their part. It came to the notice of the petitioner that the claim filed was completely justified as this claim was for a different unit </w:t>
      </w:r>
      <w:r w:rsidR="007D6150">
        <w:rPr>
          <w:rFonts w:ascii="Bookman Old Style" w:hAnsi="Bookman Old Style"/>
        </w:rPr>
        <w:t xml:space="preserve">which was newly established and </w:t>
      </w:r>
      <w:r w:rsidR="00C4117B">
        <w:rPr>
          <w:rFonts w:ascii="Bookman Old Style" w:hAnsi="Bookman Old Style"/>
        </w:rPr>
        <w:t>the investigation wing confused</w:t>
      </w:r>
      <w:r w:rsidR="007D6150">
        <w:rPr>
          <w:rFonts w:ascii="Bookman Old Style" w:hAnsi="Bookman Old Style"/>
        </w:rPr>
        <w:t xml:space="preserve"> it</w:t>
      </w:r>
      <w:r w:rsidR="00C4117B">
        <w:rPr>
          <w:rFonts w:ascii="Bookman Old Style" w:hAnsi="Bookman Old Style"/>
        </w:rPr>
        <w:t xml:space="preserve"> with another unit of the same person</w:t>
      </w:r>
      <w:r w:rsidR="007D6150">
        <w:rPr>
          <w:rFonts w:ascii="Bookman Old Style" w:hAnsi="Bookman Old Style"/>
        </w:rPr>
        <w:t xml:space="preserve"> for which no deduction was claimed</w:t>
      </w:r>
      <w:r w:rsidR="00C4117B">
        <w:rPr>
          <w:rFonts w:ascii="Bookman Old Style" w:hAnsi="Bookman Old Style"/>
        </w:rPr>
        <w:t>. The department attempted to deny</w:t>
      </w:r>
      <w:r w:rsidR="007D6150">
        <w:rPr>
          <w:rFonts w:ascii="Bookman Old Style" w:hAnsi="Bookman Old Style"/>
        </w:rPr>
        <w:t xml:space="preserve"> subsequently</w:t>
      </w:r>
      <w:r w:rsidR="00C4117B">
        <w:rPr>
          <w:rFonts w:ascii="Bookman Old Style" w:hAnsi="Bookman Old Style"/>
        </w:rPr>
        <w:t xml:space="preserve"> the claim by resorting to revision by the commissioner which remedy was exercised by the Department. But, the person challenged such a course before the higher forum of the Income Tax Appellate Tribunal, Mumbai Bench who set aside the order passed in revision by the Commissioner by holding that the petitioner conducted relevant and adequate enquiries before allowing the deduction and there was</w:t>
      </w:r>
      <w:r w:rsidR="00476C33">
        <w:rPr>
          <w:rFonts w:ascii="Bookman Old Style" w:hAnsi="Bookman Old Style"/>
        </w:rPr>
        <w:t xml:space="preserve"> neither error in the order passed</w:t>
      </w:r>
      <w:r w:rsidR="00C4117B">
        <w:rPr>
          <w:rFonts w:ascii="Bookman Old Style" w:hAnsi="Bookman Old Style"/>
        </w:rPr>
        <w:t xml:space="preserve"> by the petitioner nor the order passed by him was prejudicial to Revenue.</w:t>
      </w:r>
      <w:r w:rsidR="007D6150">
        <w:rPr>
          <w:rFonts w:ascii="Bookman Old Style" w:hAnsi="Bookman Old Style"/>
        </w:rPr>
        <w:t xml:space="preserve"> The inclusion of this issue in the</w:t>
      </w:r>
      <w:r w:rsidR="00C23E96">
        <w:rPr>
          <w:rFonts w:ascii="Bookman Old Style" w:hAnsi="Bookman Old Style"/>
        </w:rPr>
        <w:t xml:space="preserve"> memorandum of charges is</w:t>
      </w:r>
      <w:r w:rsidR="007D6150">
        <w:rPr>
          <w:rFonts w:ascii="Bookman Old Style" w:hAnsi="Bookman Old Style"/>
        </w:rPr>
        <w:t xml:space="preserve"> clearly arbitrary, biased and with an intent to harm the career of the petitioner.</w:t>
      </w:r>
      <w:r w:rsidR="00C4117B">
        <w:rPr>
          <w:rFonts w:ascii="Bookman Old Style" w:hAnsi="Bookman Old Style"/>
        </w:rPr>
        <w:t xml:space="preserve"> </w:t>
      </w:r>
      <w:r w:rsidR="002009BC">
        <w:rPr>
          <w:rFonts w:ascii="Bookman Old Style" w:hAnsi="Bookman Old Style"/>
        </w:rPr>
        <w:t>Copies of the relevant orders are enclosed.</w:t>
      </w:r>
    </w:p>
    <w:p w:rsidR="00196E17" w:rsidRDefault="00196E17" w:rsidP="00196E17">
      <w:pPr>
        <w:pStyle w:val="ListParagraph"/>
        <w:autoSpaceDE w:val="0"/>
        <w:autoSpaceDN w:val="0"/>
        <w:spacing w:after="0" w:line="276" w:lineRule="auto"/>
        <w:ind w:left="709"/>
        <w:jc w:val="both"/>
        <w:rPr>
          <w:rFonts w:ascii="Bookman Old Style" w:hAnsi="Bookman Old Style"/>
        </w:rPr>
      </w:pPr>
      <w:r>
        <w:rPr>
          <w:rFonts w:ascii="Bookman Old Style" w:hAnsi="Bookman Old Style"/>
        </w:rPr>
        <w:t xml:space="preserve"> </w:t>
      </w:r>
    </w:p>
    <w:p w:rsidR="00AB67AA" w:rsidRPr="00FC5A82" w:rsidRDefault="007D6150" w:rsidP="00FC5A82">
      <w:pPr>
        <w:pStyle w:val="ListParagraph"/>
        <w:numPr>
          <w:ilvl w:val="0"/>
          <w:numId w:val="8"/>
        </w:numPr>
        <w:autoSpaceDE w:val="0"/>
        <w:autoSpaceDN w:val="0"/>
        <w:spacing w:after="0" w:line="276" w:lineRule="auto"/>
        <w:jc w:val="both"/>
        <w:rPr>
          <w:rFonts w:ascii="Bookman Old Style" w:hAnsi="Bookman Old Style"/>
        </w:rPr>
      </w:pPr>
      <w:bookmarkStart w:id="0" w:name="_GoBack"/>
      <w:bookmarkEnd w:id="0"/>
      <w:r w:rsidRPr="00FC5A82">
        <w:rPr>
          <w:rFonts w:ascii="Bookman Old Style" w:hAnsi="Bookman Old Style"/>
        </w:rPr>
        <w:t xml:space="preserve">Another issue which is included in the memorandum of charges is </w:t>
      </w:r>
      <w:r w:rsidR="00C1230F" w:rsidRPr="00FC5A82">
        <w:rPr>
          <w:rFonts w:ascii="Bookman Old Style" w:hAnsi="Bookman Old Style"/>
        </w:rPr>
        <w:t>that</w:t>
      </w:r>
      <w:r w:rsidR="00C23E96" w:rsidRPr="00FC5A82">
        <w:rPr>
          <w:rFonts w:ascii="Bookman Old Style" w:hAnsi="Bookman Old Style"/>
        </w:rPr>
        <w:t xml:space="preserve"> the</w:t>
      </w:r>
      <w:r w:rsidR="00C1230F" w:rsidRPr="00FC5A82">
        <w:rPr>
          <w:rFonts w:ascii="Bookman Old Style" w:hAnsi="Bookman Old Style"/>
        </w:rPr>
        <w:t xml:space="preserve"> cash rec</w:t>
      </w:r>
      <w:r w:rsidR="00C23E96" w:rsidRPr="00FC5A82">
        <w:rPr>
          <w:rFonts w:ascii="Bookman Old Style" w:hAnsi="Bookman Old Style"/>
        </w:rPr>
        <w:t>eived by Sterling Biotech Group</w:t>
      </w:r>
      <w:r w:rsidR="00CA44C7" w:rsidRPr="00FC5A82">
        <w:rPr>
          <w:rFonts w:ascii="Bookman Old Style" w:hAnsi="Bookman Old Style"/>
        </w:rPr>
        <w:t xml:space="preserve"> has been </w:t>
      </w:r>
      <w:r w:rsidR="00C23E96" w:rsidRPr="00FC5A82">
        <w:rPr>
          <w:rFonts w:ascii="Bookman Old Style" w:hAnsi="Bookman Old Style"/>
        </w:rPr>
        <w:t>telescoped</w:t>
      </w:r>
      <w:r w:rsidR="00CA44C7" w:rsidRPr="00FC5A82">
        <w:rPr>
          <w:rFonts w:ascii="Bookman Old Style" w:hAnsi="Bookman Old Style"/>
        </w:rPr>
        <w:t xml:space="preserve"> with cash generated through unaccounted cash sales of</w:t>
      </w:r>
      <w:r w:rsidR="00C23E96" w:rsidRPr="00FC5A82">
        <w:rPr>
          <w:rFonts w:ascii="Bookman Old Style" w:hAnsi="Bookman Old Style"/>
        </w:rPr>
        <w:t xml:space="preserve"> a by-product known as</w:t>
      </w:r>
      <w:r w:rsidR="00CA44C7" w:rsidRPr="00FC5A82">
        <w:rPr>
          <w:rFonts w:ascii="Bookman Old Style" w:hAnsi="Bookman Old Style"/>
        </w:rPr>
        <w:t xml:space="preserve"> DCP</w:t>
      </w:r>
      <w:r w:rsidR="00C23E96" w:rsidRPr="00FC5A82">
        <w:rPr>
          <w:rFonts w:ascii="Bookman Old Style" w:hAnsi="Bookman Old Style"/>
        </w:rPr>
        <w:t xml:space="preserve">. It is alleged that such an action on the part of the petitioner </w:t>
      </w:r>
      <w:r w:rsidR="00CA44C7" w:rsidRPr="00FC5A82">
        <w:rPr>
          <w:rFonts w:ascii="Bookman Old Style" w:hAnsi="Bookman Old Style"/>
        </w:rPr>
        <w:t xml:space="preserve">is </w:t>
      </w:r>
      <w:r w:rsidR="00C1230F" w:rsidRPr="00FC5A82">
        <w:rPr>
          <w:rFonts w:ascii="Bookman Old Style" w:hAnsi="Bookman Old Style"/>
        </w:rPr>
        <w:t>not in conformity with the facts of the case.</w:t>
      </w:r>
      <w:r w:rsidR="00CA44C7" w:rsidRPr="00FC5A82">
        <w:rPr>
          <w:rFonts w:ascii="Bookman Old Style" w:hAnsi="Bookman Old Style"/>
        </w:rPr>
        <w:t xml:space="preserve"> </w:t>
      </w:r>
      <w:r w:rsidR="00C23E96" w:rsidRPr="00FC5A82">
        <w:rPr>
          <w:rFonts w:ascii="Bookman Old Style" w:hAnsi="Bookman Old Style"/>
        </w:rPr>
        <w:t xml:space="preserve">This cash was found at various premises by Party Number 11 and 17 inventorised as separate annexures by the two respective parties. </w:t>
      </w:r>
      <w:r w:rsidR="002009BC" w:rsidRPr="00FC5A82">
        <w:rPr>
          <w:rFonts w:ascii="Bookman Old Style" w:hAnsi="Bookman Old Style"/>
        </w:rPr>
        <w:t xml:space="preserve">A detailed reply is given in the statement of defence in this regard. It is pertinent to mention here that revisionary order under section 263 of the Act passed by the Commissioner of </w:t>
      </w:r>
      <w:proofErr w:type="spellStart"/>
      <w:r w:rsidR="002009BC" w:rsidRPr="00FC5A82">
        <w:rPr>
          <w:rFonts w:ascii="Bookman Old Style" w:hAnsi="Bookman Old Style"/>
        </w:rPr>
        <w:t>Incom</w:t>
      </w:r>
      <w:proofErr w:type="spellEnd"/>
      <w:r w:rsidR="002009BC" w:rsidRPr="00FC5A82">
        <w:rPr>
          <w:rFonts w:ascii="Bookman Old Style" w:hAnsi="Bookman Old Style"/>
        </w:rPr>
        <w:t xml:space="preserve">-tax has been set aside by the Income Tax Appellate Tribunal, Mumbai by holding that the petitioner duly examined the issue during the course of assessment proceedings. The Department challenged the decision of the Income Tax Appellate Tribunal, Mumbai before the Hon’ble High Court of Bombay who </w:t>
      </w:r>
      <w:r w:rsidR="002009BC" w:rsidRPr="00FC5A82">
        <w:rPr>
          <w:rFonts w:ascii="Bookman Old Style" w:hAnsi="Bookman Old Style"/>
        </w:rPr>
        <w:lastRenderedPageBreak/>
        <w:t>have dismissed the appeal filed by the Department. Copies of the relevant orders are enclosed.</w:t>
      </w:r>
      <w:r w:rsidR="00AB67AA" w:rsidRPr="00FC5A82">
        <w:rPr>
          <w:rFonts w:ascii="Bookman Old Style" w:hAnsi="Bookman Old Style"/>
        </w:rPr>
        <w:t xml:space="preserve"> The inclusion of this issue in the memorandum of charges after the judgment of Hon’ble High Court off Bombay clearly proves the arbitrary and biased nature of the charge with intent to harm the career of the petitioner. Copies of the relevant orders are enclosed.</w:t>
      </w:r>
    </w:p>
    <w:p w:rsidR="00C23E96" w:rsidRPr="00C23E96" w:rsidRDefault="00C23E96" w:rsidP="00AB67AA">
      <w:pPr>
        <w:pStyle w:val="ListParagraph"/>
        <w:autoSpaceDE w:val="0"/>
        <w:autoSpaceDN w:val="0"/>
        <w:spacing w:after="0" w:line="276" w:lineRule="auto"/>
        <w:jc w:val="both"/>
        <w:rPr>
          <w:rFonts w:ascii="Bookman Old Style" w:hAnsi="Bookman Old Style"/>
          <w:bCs/>
        </w:rPr>
      </w:pPr>
    </w:p>
    <w:p w:rsidR="00136F2C" w:rsidRDefault="00C23E96" w:rsidP="001A3A9F">
      <w:pPr>
        <w:pStyle w:val="ListParagraph"/>
        <w:numPr>
          <w:ilvl w:val="0"/>
          <w:numId w:val="8"/>
        </w:numPr>
        <w:autoSpaceDE w:val="0"/>
        <w:autoSpaceDN w:val="0"/>
        <w:spacing w:after="0" w:line="240" w:lineRule="auto"/>
        <w:jc w:val="both"/>
        <w:rPr>
          <w:rFonts w:ascii="Bookman Old Style" w:hAnsi="Bookman Old Style"/>
        </w:rPr>
      </w:pPr>
      <w:r w:rsidRPr="00AB67AA">
        <w:rPr>
          <w:rFonts w:ascii="Bookman Old Style" w:hAnsi="Bookman Old Style"/>
          <w:bCs/>
        </w:rPr>
        <w:t>It is alleged</w:t>
      </w:r>
      <w:r w:rsidR="00BF792C" w:rsidRPr="00AB67AA">
        <w:rPr>
          <w:rFonts w:ascii="Bookman Old Style" w:hAnsi="Bookman Old Style"/>
          <w:bCs/>
        </w:rPr>
        <w:t xml:space="preserve"> that the </w:t>
      </w:r>
      <w:r w:rsidRPr="00AB67AA">
        <w:rPr>
          <w:rFonts w:ascii="Bookman Old Style" w:hAnsi="Bookman Old Style"/>
          <w:bCs/>
        </w:rPr>
        <w:t xml:space="preserve">petitioner </w:t>
      </w:r>
      <w:r w:rsidR="00BF792C" w:rsidRPr="00AB67AA">
        <w:rPr>
          <w:rFonts w:ascii="Bookman Old Style" w:hAnsi="Bookman Old Style"/>
          <w:bCs/>
        </w:rPr>
        <w:t xml:space="preserve">did not </w:t>
      </w:r>
      <w:r w:rsidR="002009BC" w:rsidRPr="00AB67AA">
        <w:rPr>
          <w:rFonts w:ascii="Bookman Old Style" w:hAnsi="Bookman Old Style"/>
          <w:bCs/>
        </w:rPr>
        <w:t>analyse the</w:t>
      </w:r>
      <w:r w:rsidR="00BF792C" w:rsidRPr="00AB67AA">
        <w:rPr>
          <w:rFonts w:ascii="Bookman Old Style" w:hAnsi="Bookman Old Style"/>
          <w:bCs/>
        </w:rPr>
        <w:t xml:space="preserve"> seized/impounded data, including data contained in the seized/impounded computer back</w:t>
      </w:r>
      <w:r w:rsidRPr="00AB67AA">
        <w:rPr>
          <w:rFonts w:ascii="Bookman Old Style" w:hAnsi="Bookman Old Style"/>
          <w:bCs/>
        </w:rPr>
        <w:t>-</w:t>
      </w:r>
      <w:r w:rsidR="00BF792C" w:rsidRPr="00AB67AA">
        <w:rPr>
          <w:rFonts w:ascii="Bookman Old Style" w:hAnsi="Bookman Old Style"/>
          <w:bCs/>
        </w:rPr>
        <w:t xml:space="preserve">up as a result of which the potential revenue gain remained unascertained. </w:t>
      </w:r>
      <w:r w:rsidR="00AB67AA">
        <w:rPr>
          <w:rFonts w:ascii="Bookman Old Style" w:hAnsi="Bookman Old Style"/>
          <w:bCs/>
        </w:rPr>
        <w:t xml:space="preserve"> </w:t>
      </w:r>
      <w:r w:rsidR="001A3A9F" w:rsidRPr="00AB67AA">
        <w:rPr>
          <w:rFonts w:ascii="Bookman Old Style" w:hAnsi="Bookman Old Style"/>
        </w:rPr>
        <w:t xml:space="preserve">Detailed reply </w:t>
      </w:r>
      <w:r w:rsidR="00AB67AA">
        <w:rPr>
          <w:rFonts w:ascii="Bookman Old Style" w:hAnsi="Bookman Old Style"/>
        </w:rPr>
        <w:t>on this issue</w:t>
      </w:r>
      <w:r w:rsidR="001A3A9F" w:rsidRPr="00AB67AA">
        <w:rPr>
          <w:rFonts w:ascii="Bookman Old Style" w:hAnsi="Bookman Old Style"/>
        </w:rPr>
        <w:t xml:space="preserve"> is given vide statement of defence dated 29.03.2021. Copy is attached. </w:t>
      </w:r>
      <w:r w:rsidR="00AB67AA">
        <w:rPr>
          <w:rFonts w:ascii="Bookman Old Style" w:hAnsi="Bookman Old Style"/>
        </w:rPr>
        <w:t xml:space="preserve">Even the appraisal Report of the Investigation Wing does not specify any loss of revenue on this account. Yet, the data was examined which required no </w:t>
      </w:r>
      <w:r w:rsidR="00094D05">
        <w:rPr>
          <w:rFonts w:ascii="Bookman Old Style" w:hAnsi="Bookman Old Style"/>
        </w:rPr>
        <w:t>deviation</w:t>
      </w:r>
      <w:r w:rsidR="00AB67AA">
        <w:rPr>
          <w:rFonts w:ascii="Bookman Old Style" w:hAnsi="Bookman Old Style"/>
        </w:rPr>
        <w:t xml:space="preserve"> as there was no conclusive finding. There is no suggestion in the memorandum of charge on this issue whether the petitioner failed to resort to deviation process which clearly shows the vagueness of the charge.</w:t>
      </w:r>
    </w:p>
    <w:p w:rsidR="00094D05" w:rsidRPr="00AB67AA" w:rsidRDefault="00094D05" w:rsidP="00094D05">
      <w:pPr>
        <w:pStyle w:val="ListParagraph"/>
        <w:autoSpaceDE w:val="0"/>
        <w:autoSpaceDN w:val="0"/>
        <w:spacing w:after="0" w:line="240" w:lineRule="auto"/>
        <w:jc w:val="both"/>
        <w:rPr>
          <w:rFonts w:ascii="Bookman Old Style" w:hAnsi="Bookman Old Style"/>
        </w:rPr>
      </w:pPr>
      <w:r>
        <w:rPr>
          <w:rFonts w:ascii="Bookman Old Style" w:hAnsi="Bookman Old Style"/>
        </w:rPr>
        <w:t>It is significant to find that a charge sheet on this issue has been issued to Ms Sonia Kumar who was functioning as Deputy Director of Income-tax (Investigation) and responsible for the conduct of search along with charge sheet to another officer of the Department, namely, Mr Ajay Chandra who was senior to Ms Sonia Kumar and was functioning as Additional Director of Income-tax (Investigation), both at Mumbai. Mr Ajay Chandra challenged the charge sheet before Hon’ble High Court</w:t>
      </w:r>
      <w:r w:rsidR="0029529E">
        <w:rPr>
          <w:rFonts w:ascii="Bookman Old Style" w:hAnsi="Bookman Old Style"/>
        </w:rPr>
        <w:t xml:space="preserve">, Rajasthan, Bench at Jaipur. Hon’ble Judge has stayed the effect and operation of memorandum dated 01.03.2021 with further direction that the said memorandum shall not come in way of the petitioner’s future promotion. On this very date, memorandum has been issued and served on the petitioner with same intention to harm his career. Copy of the judgment is enclosed. </w:t>
      </w:r>
      <w:r>
        <w:rPr>
          <w:rFonts w:ascii="Bookman Old Style" w:hAnsi="Bookman Old Style"/>
        </w:rPr>
        <w:t xml:space="preserve"> </w:t>
      </w:r>
    </w:p>
    <w:p w:rsidR="001734DE" w:rsidRDefault="001734DE" w:rsidP="001A3A9F">
      <w:pPr>
        <w:spacing w:after="0"/>
        <w:ind w:left="720"/>
        <w:jc w:val="both"/>
        <w:rPr>
          <w:rFonts w:ascii="Bookman Old Style" w:hAnsi="Bookman Old Style"/>
        </w:rPr>
      </w:pPr>
    </w:p>
    <w:p w:rsidR="001A3A9F" w:rsidRDefault="001A3A9F" w:rsidP="00AB67AA">
      <w:pPr>
        <w:pStyle w:val="ListParagraph"/>
        <w:ind w:left="284" w:firstLine="76"/>
        <w:jc w:val="both"/>
        <w:rPr>
          <w:rFonts w:ascii="Bookman Old Style" w:hAnsi="Bookman Old Style"/>
          <w:b/>
          <w:bCs/>
        </w:rPr>
      </w:pPr>
      <w:proofErr w:type="gramStart"/>
      <w:r w:rsidRPr="001A3A9F">
        <w:rPr>
          <w:rFonts w:ascii="Bookman Old Style" w:hAnsi="Bookman Old Style"/>
          <w:b/>
          <w:bCs/>
        </w:rPr>
        <w:t>POINTS FOR CONSIDERATION OF STAY PETITION TO BE FILED.</w:t>
      </w:r>
      <w:proofErr w:type="gramEnd"/>
    </w:p>
    <w:p w:rsidR="00C738BA" w:rsidRPr="001A3A9F" w:rsidRDefault="00C738BA" w:rsidP="00C738BA">
      <w:pPr>
        <w:pStyle w:val="ListParagraph"/>
        <w:ind w:left="284"/>
        <w:jc w:val="both"/>
        <w:rPr>
          <w:rFonts w:ascii="Bookman Old Style" w:hAnsi="Bookman Old Style"/>
          <w:b/>
          <w:bCs/>
        </w:rPr>
      </w:pPr>
    </w:p>
    <w:p w:rsidR="00C738BA" w:rsidRPr="00A51909" w:rsidRDefault="00C738BA" w:rsidP="00313140">
      <w:pPr>
        <w:pStyle w:val="ListParagraph"/>
        <w:numPr>
          <w:ilvl w:val="0"/>
          <w:numId w:val="9"/>
        </w:numPr>
        <w:shd w:val="clear" w:color="auto" w:fill="FFFFFF"/>
        <w:spacing w:before="120" w:after="0" w:line="276" w:lineRule="auto"/>
        <w:ind w:left="993" w:hanging="426"/>
        <w:jc w:val="both"/>
        <w:rPr>
          <w:rFonts w:ascii="Bookman Old Style" w:hAnsi="Bookman Old Style"/>
        </w:rPr>
      </w:pPr>
      <w:r w:rsidRPr="00A51909">
        <w:rPr>
          <w:rFonts w:ascii="Bookman Old Style" w:hAnsi="Bookman Old Style"/>
        </w:rPr>
        <w:t xml:space="preserve">Charge Sheet given </w:t>
      </w:r>
      <w:r w:rsidR="009B028F" w:rsidRPr="00A51909">
        <w:rPr>
          <w:rFonts w:ascii="Bookman Old Style" w:hAnsi="Bookman Old Style"/>
        </w:rPr>
        <w:t>is relating to</w:t>
      </w:r>
      <w:r w:rsidRPr="00A51909">
        <w:rPr>
          <w:rFonts w:ascii="Bookman Old Style" w:hAnsi="Bookman Old Style"/>
        </w:rPr>
        <w:t xml:space="preserve"> charges which are more than </w:t>
      </w:r>
      <w:r w:rsidRPr="001734DE">
        <w:rPr>
          <w:rFonts w:ascii="Bookman Old Style" w:hAnsi="Bookman Old Style"/>
          <w:b/>
        </w:rPr>
        <w:t>7 years old.</w:t>
      </w:r>
      <w:r w:rsidR="00A51909" w:rsidRPr="00A51909">
        <w:rPr>
          <w:rFonts w:ascii="Bookman Old Style" w:hAnsi="Bookman Old Style"/>
        </w:rPr>
        <w:t xml:space="preserve"> Further, </w:t>
      </w:r>
      <w:r w:rsidR="00A51909" w:rsidRPr="00A51909">
        <w:rPr>
          <w:rFonts w:ascii="Bookman Old Style" w:eastAsia="Times New Roman" w:hAnsi="Bookman Old Style" w:cs="Arial"/>
          <w:color w:val="222222"/>
          <w:lang w:eastAsia="en-IN"/>
        </w:rPr>
        <w:t>Statement of Defence given in respect of Articles of Charges vide reply submitted on 29.03.2021 where in request has been made for vacation of all the charges has not been replied with</w:t>
      </w:r>
      <w:r w:rsidR="001734DE">
        <w:rPr>
          <w:rFonts w:ascii="Bookman Old Style" w:eastAsia="Times New Roman" w:hAnsi="Bookman Old Style" w:cs="Arial"/>
          <w:color w:val="222222"/>
          <w:lang w:eastAsia="en-IN"/>
        </w:rPr>
        <w:t xml:space="preserve"> or</w:t>
      </w:r>
      <w:r w:rsidR="00A51909" w:rsidRPr="00A51909">
        <w:rPr>
          <w:rFonts w:ascii="Bookman Old Style" w:eastAsia="Times New Roman" w:hAnsi="Bookman Old Style" w:cs="Arial"/>
          <w:color w:val="222222"/>
          <w:lang w:eastAsia="en-IN"/>
        </w:rPr>
        <w:t xml:space="preserve"> taken into consideration till date and no IO has been appointed till </w:t>
      </w:r>
      <w:proofErr w:type="spellStart"/>
      <w:r w:rsidR="00A51909" w:rsidRPr="00A51909">
        <w:rPr>
          <w:rFonts w:ascii="Bookman Old Style" w:eastAsia="Times New Roman" w:hAnsi="Bookman Old Style" w:cs="Arial"/>
          <w:color w:val="222222"/>
          <w:lang w:eastAsia="en-IN"/>
        </w:rPr>
        <w:t>date.Therefore</w:t>
      </w:r>
      <w:proofErr w:type="spellEnd"/>
      <w:r w:rsidR="00A51909" w:rsidRPr="00A51909">
        <w:rPr>
          <w:rFonts w:ascii="Bookman Old Style" w:eastAsia="Times New Roman" w:hAnsi="Bookman Old Style" w:cs="Arial"/>
          <w:color w:val="222222"/>
          <w:lang w:eastAsia="en-IN"/>
        </w:rPr>
        <w:t xml:space="preserve">, </w:t>
      </w:r>
      <w:r w:rsidR="001734DE">
        <w:rPr>
          <w:rFonts w:ascii="Bookman Old Style" w:eastAsia="Times New Roman" w:hAnsi="Bookman Old Style" w:cs="Arial"/>
          <w:color w:val="222222"/>
          <w:lang w:eastAsia="en-IN"/>
        </w:rPr>
        <w:t>t</w:t>
      </w:r>
      <w:r w:rsidR="00A51909" w:rsidRPr="00A51909">
        <w:rPr>
          <w:rFonts w:ascii="Bookman Old Style" w:hAnsi="Bookman Old Style"/>
        </w:rPr>
        <w:t xml:space="preserve">he proceedings need to be quashed in view of the decisions of Hon’ble Supreme Court of India in the case of State Of Andhra Pradesh vs N. </w:t>
      </w:r>
      <w:proofErr w:type="spellStart"/>
      <w:r w:rsidR="00A51909" w:rsidRPr="00A51909">
        <w:rPr>
          <w:rFonts w:ascii="Bookman Old Style" w:hAnsi="Bookman Old Style"/>
        </w:rPr>
        <w:t>Radhakishan</w:t>
      </w:r>
      <w:proofErr w:type="spellEnd"/>
      <w:r w:rsidR="00A51909" w:rsidRPr="00A51909">
        <w:rPr>
          <w:rFonts w:ascii="Bookman Old Style" w:hAnsi="Bookman Old Style"/>
        </w:rPr>
        <w:t xml:space="preserve"> delivered on 7 April, 1998. Copy attached.</w:t>
      </w:r>
    </w:p>
    <w:p w:rsidR="00C738BA" w:rsidRPr="009D4F47" w:rsidRDefault="00C738BA" w:rsidP="00BF5E3B">
      <w:pPr>
        <w:pStyle w:val="ListParagraph"/>
        <w:shd w:val="clear" w:color="auto" w:fill="FFFFFF"/>
        <w:spacing w:before="120" w:after="0" w:line="276" w:lineRule="auto"/>
        <w:ind w:left="993" w:hanging="426"/>
        <w:jc w:val="both"/>
        <w:rPr>
          <w:rFonts w:ascii="Bookman Old Style" w:eastAsia="Times New Roman" w:hAnsi="Bookman Old Style" w:cs="Arial"/>
          <w:color w:val="222222"/>
          <w:lang w:eastAsia="en-IN"/>
        </w:rPr>
      </w:pPr>
    </w:p>
    <w:p w:rsidR="00D27DAB" w:rsidRPr="009D4F47" w:rsidRDefault="009B028F"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sidRPr="009D4F47">
        <w:rPr>
          <w:rFonts w:ascii="Bookman Old Style" w:eastAsia="Times New Roman" w:hAnsi="Bookman Old Style" w:cs="Arial"/>
          <w:color w:val="222222"/>
          <w:lang w:eastAsia="en-IN"/>
        </w:rPr>
        <w:t xml:space="preserve">In respect of </w:t>
      </w:r>
      <w:r w:rsidR="00C738BA" w:rsidRPr="009D4F47">
        <w:rPr>
          <w:rFonts w:ascii="Bookman Old Style" w:eastAsia="Times New Roman" w:hAnsi="Bookman Old Style" w:cs="Arial"/>
          <w:color w:val="222222"/>
          <w:lang w:eastAsia="en-IN"/>
        </w:rPr>
        <w:t>Articles of Charge</w:t>
      </w:r>
      <w:r w:rsidRPr="009D4F47">
        <w:rPr>
          <w:rFonts w:ascii="Bookman Old Style" w:eastAsia="Times New Roman" w:hAnsi="Bookman Old Style" w:cs="Arial"/>
          <w:color w:val="222222"/>
          <w:lang w:eastAsia="en-IN"/>
        </w:rPr>
        <w:t xml:space="preserve"> 1 &amp; 2 above, </w:t>
      </w:r>
      <w:r w:rsidR="00D27DAB" w:rsidRPr="009D4F47">
        <w:rPr>
          <w:rFonts w:ascii="Bookman Old Style" w:eastAsia="Times New Roman" w:hAnsi="Bookman Old Style" w:cs="Arial"/>
          <w:color w:val="222222"/>
          <w:lang w:eastAsia="en-IN"/>
        </w:rPr>
        <w:t xml:space="preserve">the charges levelled are without correct appreciation of facts. It can be clearly seen from the Appraisal report that there were no findings given or conclusions drawn on both these issues and the matters were left for AO to examine the issue and take necessary action as per law. This is quite evident from the remarks given in the Appraisal Report in Para 10.3.3. and 12.4.3 relating to both these issues. </w:t>
      </w:r>
      <w:r w:rsidR="00CF616E">
        <w:rPr>
          <w:rFonts w:ascii="Bookman Old Style" w:eastAsia="Times New Roman" w:hAnsi="Bookman Old Style" w:cs="Arial"/>
          <w:color w:val="222222"/>
          <w:lang w:eastAsia="en-IN"/>
        </w:rPr>
        <w:t xml:space="preserve">Further, </w:t>
      </w:r>
      <w:r w:rsidR="00742FFB">
        <w:rPr>
          <w:rFonts w:ascii="Bookman Old Style" w:eastAsia="Times New Roman" w:hAnsi="Bookman Old Style" w:cs="Arial"/>
          <w:color w:val="222222"/>
          <w:lang w:eastAsia="en-IN"/>
        </w:rPr>
        <w:t xml:space="preserve">both </w:t>
      </w:r>
      <w:r w:rsidR="00742FFB" w:rsidRPr="000134B4">
        <w:rPr>
          <w:rFonts w:ascii="Bookman Old Style" w:hAnsi="Bookman Old Style"/>
        </w:rPr>
        <w:t>the issue</w:t>
      </w:r>
      <w:r w:rsidR="00742FFB">
        <w:rPr>
          <w:rFonts w:ascii="Bookman Old Style" w:hAnsi="Bookman Old Style"/>
        </w:rPr>
        <w:t>s</w:t>
      </w:r>
      <w:r w:rsidR="001734DE">
        <w:rPr>
          <w:rFonts w:ascii="Bookman Old Style" w:hAnsi="Bookman Old Style"/>
        </w:rPr>
        <w:t xml:space="preserve"> </w:t>
      </w:r>
      <w:r w:rsidR="00742FFB">
        <w:rPr>
          <w:rFonts w:ascii="Bookman Old Style" w:hAnsi="Bookman Old Style"/>
        </w:rPr>
        <w:t xml:space="preserve">were </w:t>
      </w:r>
      <w:r w:rsidR="00742FFB" w:rsidRPr="000134B4">
        <w:rPr>
          <w:rFonts w:ascii="Bookman Old Style" w:hAnsi="Bookman Old Style"/>
          <w:b/>
        </w:rPr>
        <w:t>re-examined</w:t>
      </w:r>
      <w:r w:rsidR="00742FFB">
        <w:rPr>
          <w:rFonts w:ascii="Bookman Old Style" w:hAnsi="Bookman Old Style"/>
          <w:b/>
        </w:rPr>
        <w:t xml:space="preserve"> fully</w:t>
      </w:r>
      <w:r w:rsidR="00742FFB" w:rsidRPr="000134B4">
        <w:rPr>
          <w:rFonts w:ascii="Bookman Old Style" w:hAnsi="Bookman Old Style"/>
        </w:rPr>
        <w:t xml:space="preserve"> as suggested in the Appraisal and there was no deviation from the suggestion given in the Appraisal</w:t>
      </w:r>
    </w:p>
    <w:p w:rsidR="00D27DAB" w:rsidRPr="009D4F47" w:rsidRDefault="00D27DAB" w:rsidP="00BF5E3B">
      <w:pPr>
        <w:pStyle w:val="ListParagraph"/>
        <w:ind w:hanging="426"/>
        <w:rPr>
          <w:rFonts w:ascii="Bookman Old Style" w:eastAsia="Times New Roman" w:hAnsi="Bookman Old Style" w:cs="Arial"/>
          <w:color w:val="222222"/>
          <w:lang w:eastAsia="en-IN"/>
        </w:rPr>
      </w:pPr>
    </w:p>
    <w:p w:rsidR="00742FFB" w:rsidRDefault="00742FFB"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Pr>
          <w:rFonts w:ascii="Bookman Old Style" w:hAnsi="Bookman Old Style"/>
        </w:rPr>
        <w:lastRenderedPageBreak/>
        <w:t xml:space="preserve">Subsequently, both these issues were </w:t>
      </w:r>
      <w:r w:rsidRPr="00F17E6E">
        <w:rPr>
          <w:rFonts w:ascii="Bookman Old Style" w:hAnsi="Bookman Old Style"/>
        </w:rPr>
        <w:t xml:space="preserve">considered by the Ld. PCIT in the course of revision proceedings u/s 263 of the IT Act </w:t>
      </w:r>
      <w:r>
        <w:rPr>
          <w:rFonts w:ascii="Bookman Old Style" w:hAnsi="Bookman Old Style"/>
        </w:rPr>
        <w:t xml:space="preserve">and vide </w:t>
      </w:r>
      <w:r w:rsidRPr="00F17E6E">
        <w:rPr>
          <w:rFonts w:ascii="Bookman Old Style" w:hAnsi="Bookman Old Style"/>
        </w:rPr>
        <w:t>his order dated 30-03-2016 u/s 263 of the Act. Ld.</w:t>
      </w:r>
      <w:r>
        <w:rPr>
          <w:rFonts w:ascii="Bookman Old Style" w:hAnsi="Bookman Old Style"/>
        </w:rPr>
        <w:t>, t</w:t>
      </w:r>
      <w:r w:rsidRPr="00F17E6E">
        <w:rPr>
          <w:rFonts w:ascii="Bookman Old Style" w:hAnsi="Bookman Old Style"/>
        </w:rPr>
        <w:t>he Ld. PCIT has held the assessment order to be incorrect, erroneous as well prejudiced to the interest of revenue</w:t>
      </w:r>
      <w:r>
        <w:rPr>
          <w:rFonts w:ascii="Bookman Old Style" w:hAnsi="Bookman Old Style"/>
        </w:rPr>
        <w:t xml:space="preserve">. </w:t>
      </w:r>
    </w:p>
    <w:p w:rsidR="00742FFB" w:rsidRPr="00742FFB" w:rsidRDefault="00742FFB" w:rsidP="00742FFB">
      <w:pPr>
        <w:pStyle w:val="ListParagraph"/>
        <w:rPr>
          <w:rFonts w:ascii="Bookman Old Style" w:eastAsia="Times New Roman" w:hAnsi="Bookman Old Style" w:cs="Arial"/>
          <w:color w:val="222222"/>
          <w:lang w:eastAsia="en-IN"/>
        </w:rPr>
      </w:pPr>
    </w:p>
    <w:p w:rsidR="00C738BA" w:rsidRPr="009D4F47" w:rsidRDefault="00742FFB"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Pr>
          <w:rFonts w:ascii="Bookman Old Style" w:eastAsia="Times New Roman" w:hAnsi="Bookman Old Style" w:cs="Arial"/>
          <w:color w:val="222222"/>
          <w:lang w:eastAsia="en-IN"/>
        </w:rPr>
        <w:t xml:space="preserve">However, </w:t>
      </w:r>
      <w:r w:rsidR="00D27DAB" w:rsidRPr="009D4F47">
        <w:rPr>
          <w:rFonts w:ascii="Bookman Old Style" w:eastAsia="Times New Roman" w:hAnsi="Bookman Old Style" w:cs="Arial"/>
          <w:color w:val="222222"/>
          <w:lang w:eastAsia="en-IN"/>
        </w:rPr>
        <w:t>on both these issues t</w:t>
      </w:r>
      <w:r w:rsidR="009B028F" w:rsidRPr="009D4F47">
        <w:rPr>
          <w:rFonts w:ascii="Bookman Old Style" w:eastAsia="Times New Roman" w:hAnsi="Bookman Old Style" w:cs="Arial"/>
          <w:color w:val="222222"/>
          <w:lang w:eastAsia="en-IN"/>
        </w:rPr>
        <w:t xml:space="preserve">he Hon’ble ‘E’ Bench </w:t>
      </w:r>
      <w:r w:rsidR="006D2E6C" w:rsidRPr="009D4F47">
        <w:rPr>
          <w:rFonts w:ascii="Bookman Old Style" w:eastAsia="Times New Roman" w:hAnsi="Bookman Old Style" w:cs="Arial"/>
          <w:color w:val="222222"/>
          <w:lang w:eastAsia="en-IN"/>
        </w:rPr>
        <w:t>of ITAT</w:t>
      </w:r>
      <w:r w:rsidR="001734DE">
        <w:rPr>
          <w:rFonts w:ascii="Bookman Old Style" w:eastAsia="Times New Roman" w:hAnsi="Bookman Old Style" w:cs="Arial"/>
          <w:color w:val="222222"/>
          <w:lang w:eastAsia="en-IN"/>
        </w:rPr>
        <w:t xml:space="preserve"> </w:t>
      </w:r>
      <w:r w:rsidR="009B028F" w:rsidRPr="009D4F47">
        <w:rPr>
          <w:rFonts w:ascii="Bookman Old Style" w:eastAsia="Times New Roman" w:hAnsi="Bookman Old Style" w:cs="Arial"/>
          <w:color w:val="222222"/>
          <w:lang w:eastAsia="en-IN"/>
        </w:rPr>
        <w:t>Mumbai in their order in ITA No. 2750</w:t>
      </w:r>
      <w:r w:rsidR="006D2E6C" w:rsidRPr="009D4F47">
        <w:rPr>
          <w:rFonts w:ascii="Bookman Old Style" w:eastAsia="Times New Roman" w:hAnsi="Bookman Old Style" w:cs="Arial"/>
          <w:color w:val="222222"/>
          <w:lang w:eastAsia="en-IN"/>
        </w:rPr>
        <w:t xml:space="preserve"> to 2756</w:t>
      </w:r>
      <w:r w:rsidR="009B028F" w:rsidRPr="009D4F47">
        <w:rPr>
          <w:rFonts w:ascii="Bookman Old Style" w:eastAsia="Times New Roman" w:hAnsi="Bookman Old Style" w:cs="Arial"/>
          <w:color w:val="222222"/>
          <w:lang w:eastAsia="en-IN"/>
        </w:rPr>
        <w:t>/Mum</w:t>
      </w:r>
      <w:r w:rsidR="006D2E6C" w:rsidRPr="009D4F47">
        <w:rPr>
          <w:rFonts w:ascii="Bookman Old Style" w:eastAsia="Times New Roman" w:hAnsi="Bookman Old Style" w:cs="Arial"/>
          <w:color w:val="222222"/>
          <w:lang w:eastAsia="en-IN"/>
        </w:rPr>
        <w:t xml:space="preserve">bai/2016 dated 29.06.2016 have quashed the revision order of the Pr. CIT passed u/s 263 and held that the AO had done all inquiries and come to a logically correct conclusion and invoking of provisions of section 263 by PCIT is not justified.  </w:t>
      </w:r>
    </w:p>
    <w:p w:rsidR="00C738BA" w:rsidRPr="009D4F47" w:rsidRDefault="00C738BA" w:rsidP="00BF5E3B">
      <w:pPr>
        <w:pStyle w:val="ListParagraph"/>
        <w:shd w:val="clear" w:color="auto" w:fill="FFFFFF"/>
        <w:spacing w:before="120" w:after="0" w:line="276" w:lineRule="auto"/>
        <w:ind w:left="993" w:hanging="426"/>
        <w:jc w:val="both"/>
        <w:rPr>
          <w:rFonts w:ascii="Bookman Old Style" w:eastAsia="Times New Roman" w:hAnsi="Bookman Old Style" w:cs="Arial"/>
          <w:color w:val="222222"/>
          <w:lang w:eastAsia="en-IN"/>
        </w:rPr>
      </w:pPr>
    </w:p>
    <w:p w:rsidR="006D2E6C" w:rsidRPr="009D4F47" w:rsidRDefault="006D2E6C" w:rsidP="00BF5E3B">
      <w:pPr>
        <w:pStyle w:val="ListParagraph"/>
        <w:numPr>
          <w:ilvl w:val="0"/>
          <w:numId w:val="9"/>
        </w:numPr>
        <w:autoSpaceDE w:val="0"/>
        <w:autoSpaceDN w:val="0"/>
        <w:spacing w:after="0" w:line="276" w:lineRule="auto"/>
        <w:ind w:left="993" w:hanging="426"/>
        <w:jc w:val="both"/>
        <w:rPr>
          <w:rFonts w:ascii="Bookman Old Style" w:hAnsi="Bookman Old Style"/>
        </w:rPr>
      </w:pPr>
      <w:r w:rsidRPr="009D4F47">
        <w:rPr>
          <w:rFonts w:ascii="Bookman Old Style" w:eastAsia="Times New Roman" w:hAnsi="Bookman Old Style" w:cs="Arial"/>
          <w:color w:val="222222"/>
          <w:lang w:eastAsia="en-IN"/>
        </w:rPr>
        <w:t xml:space="preserve">The above order of Hon’ble ITAT Mumbai was challenged by the dept. before Jurisdictional </w:t>
      </w:r>
      <w:r w:rsidR="00C738BA" w:rsidRPr="009D4F47">
        <w:rPr>
          <w:rFonts w:ascii="Bookman Old Style" w:eastAsia="Times New Roman" w:hAnsi="Bookman Old Style" w:cs="Arial"/>
          <w:color w:val="222222"/>
          <w:lang w:eastAsia="en-IN"/>
        </w:rPr>
        <w:t>High Court of Bombay</w:t>
      </w:r>
      <w:r w:rsidRPr="009D4F47">
        <w:rPr>
          <w:rFonts w:ascii="Bookman Old Style" w:eastAsia="Times New Roman" w:hAnsi="Bookman Old Style" w:cs="Arial"/>
          <w:color w:val="222222"/>
          <w:lang w:eastAsia="en-IN"/>
        </w:rPr>
        <w:t xml:space="preserve">. </w:t>
      </w:r>
      <w:r w:rsidRPr="009D4F47">
        <w:rPr>
          <w:rFonts w:ascii="Bookman Old Style" w:hAnsi="Bookman Old Style"/>
        </w:rPr>
        <w:t>Hon’ble High Court of Bombay in their order in ITA No. 495, 496, 499, 508, 517, 518 &amp; 535 of 2017 dated 29-07-2019 have held as under: -</w:t>
      </w:r>
    </w:p>
    <w:p w:rsidR="006D2E6C" w:rsidRPr="009D4F47" w:rsidRDefault="006D2E6C" w:rsidP="00BF5E3B">
      <w:pPr>
        <w:pStyle w:val="ListParagraph"/>
        <w:ind w:hanging="426"/>
        <w:rPr>
          <w:rFonts w:ascii="Bookman Old Style" w:hAnsi="Bookman Old Style"/>
        </w:rPr>
      </w:pPr>
    </w:p>
    <w:p w:rsidR="006D2E6C" w:rsidRPr="009D4F47" w:rsidRDefault="006D2E6C" w:rsidP="00BF5E3B">
      <w:pPr>
        <w:pStyle w:val="ListParagraph"/>
        <w:spacing w:line="276" w:lineRule="auto"/>
        <w:ind w:left="993" w:hanging="426"/>
        <w:jc w:val="both"/>
        <w:rPr>
          <w:rFonts w:ascii="Bookman Old Style" w:hAnsi="Bookman Old Style"/>
        </w:rPr>
      </w:pPr>
      <w:r w:rsidRPr="009D4F47">
        <w:rPr>
          <w:rFonts w:ascii="Bookman Old Style" w:hAnsi="Bookman Old Style"/>
        </w:rPr>
        <w:t>“</w:t>
      </w:r>
      <w:r w:rsidRPr="009D4F47">
        <w:rPr>
          <w:rFonts w:ascii="Bookman Old Style" w:hAnsi="Bookman Old Style"/>
          <w:i/>
          <w:iCs/>
        </w:rPr>
        <w:t xml:space="preserve">We have perused the judgment of the Income Tax Appellate Tribunal with the assistance of the learned counsel for the parties. </w:t>
      </w:r>
      <w:r w:rsidRPr="009D4F47">
        <w:rPr>
          <w:rFonts w:ascii="Bookman Old Style" w:hAnsi="Bookman Old Style"/>
          <w:b/>
          <w:bCs/>
          <w:i/>
          <w:iCs/>
          <w:u w:val="single"/>
        </w:rPr>
        <w:t>We find that the Tribunal has specifically dealt with each head separately and come to the conclusion that the Assessing Officer in the original assessment has made full inquiries and thereafter come to the conclusion,</w:t>
      </w:r>
      <w:r w:rsidRPr="009D4F47">
        <w:rPr>
          <w:rFonts w:ascii="Bookman Old Style" w:hAnsi="Bookman Old Style"/>
          <w:i/>
          <w:iCs/>
        </w:rPr>
        <w:t xml:space="preserve"> contrary to what the Commissioner has done. The Tribunal was therefore correctly of the opinion that the revisional power under section 263 of the Act could not have been exercised. No </w:t>
      </w:r>
      <w:proofErr w:type="gramStart"/>
      <w:r w:rsidRPr="009D4F47">
        <w:rPr>
          <w:rFonts w:ascii="Bookman Old Style" w:hAnsi="Bookman Old Style"/>
          <w:i/>
          <w:iCs/>
        </w:rPr>
        <w:t>question of law arise</w:t>
      </w:r>
      <w:proofErr w:type="gramEnd"/>
      <w:r w:rsidRPr="009D4F47">
        <w:rPr>
          <w:rFonts w:ascii="Bookman Old Style" w:hAnsi="Bookman Old Style"/>
          <w:i/>
          <w:iCs/>
        </w:rPr>
        <w:t>. The Income Tax Appeals are dismissed.</w:t>
      </w:r>
      <w:r w:rsidRPr="009D4F47">
        <w:rPr>
          <w:rFonts w:ascii="Bookman Old Style" w:hAnsi="Bookman Old Style"/>
        </w:rPr>
        <w:t>” [Emphasis supplied]</w:t>
      </w:r>
    </w:p>
    <w:p w:rsidR="00C738BA" w:rsidRPr="009D4F47" w:rsidRDefault="00C738BA" w:rsidP="00BF5E3B">
      <w:pPr>
        <w:pStyle w:val="ListParagraph"/>
        <w:shd w:val="clear" w:color="auto" w:fill="FFFFFF"/>
        <w:spacing w:before="120" w:after="0" w:line="276" w:lineRule="auto"/>
        <w:ind w:left="993" w:hanging="426"/>
        <w:jc w:val="both"/>
        <w:rPr>
          <w:rFonts w:ascii="Bookman Old Style" w:eastAsia="Times New Roman" w:hAnsi="Bookman Old Style" w:cs="Arial"/>
          <w:color w:val="222222"/>
          <w:lang w:eastAsia="en-IN"/>
        </w:rPr>
      </w:pPr>
    </w:p>
    <w:p w:rsidR="00C738BA" w:rsidRPr="009D4F47" w:rsidRDefault="00C738BA"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sidRPr="009D4F47">
        <w:rPr>
          <w:rFonts w:ascii="Bookman Old Style" w:eastAsia="Times New Roman" w:hAnsi="Bookman Old Style" w:cs="Arial"/>
          <w:color w:val="222222"/>
          <w:lang w:eastAsia="en-IN"/>
        </w:rPr>
        <w:t xml:space="preserve">In so far as </w:t>
      </w:r>
      <w:r w:rsidRPr="009D4F47">
        <w:rPr>
          <w:rFonts w:ascii="Bookman Old Style" w:eastAsia="Times New Roman" w:hAnsi="Bookman Old Style" w:cs="Arial"/>
          <w:b/>
          <w:bCs/>
          <w:color w:val="222222"/>
          <w:lang w:eastAsia="en-IN"/>
        </w:rPr>
        <w:t>third</w:t>
      </w:r>
      <w:r w:rsidRPr="009D4F47">
        <w:rPr>
          <w:rFonts w:ascii="Bookman Old Style" w:eastAsia="Times New Roman" w:hAnsi="Bookman Old Style" w:cs="Arial"/>
          <w:color w:val="222222"/>
          <w:lang w:eastAsia="en-IN"/>
        </w:rPr>
        <w:t xml:space="preserve"> article of charge is concerned, the same issue was not even </w:t>
      </w:r>
      <w:r w:rsidR="002179B8" w:rsidRPr="009D4F47">
        <w:rPr>
          <w:rFonts w:ascii="Bookman Old Style" w:eastAsia="Times New Roman" w:hAnsi="Bookman Old Style" w:cs="Arial"/>
          <w:color w:val="222222"/>
          <w:lang w:eastAsia="en-IN"/>
        </w:rPr>
        <w:t>considered</w:t>
      </w:r>
      <w:r w:rsidRPr="009D4F47">
        <w:rPr>
          <w:rFonts w:ascii="Bookman Old Style" w:eastAsia="Times New Roman" w:hAnsi="Bookman Old Style" w:cs="Arial"/>
          <w:color w:val="222222"/>
          <w:lang w:eastAsia="en-IN"/>
        </w:rPr>
        <w:t xml:space="preserve"> for revision </w:t>
      </w:r>
      <w:proofErr w:type="spellStart"/>
      <w:r w:rsidRPr="009D4F47">
        <w:rPr>
          <w:rFonts w:ascii="Bookman Old Style" w:eastAsia="Times New Roman" w:hAnsi="Bookman Old Style" w:cs="Arial"/>
          <w:color w:val="222222"/>
          <w:lang w:eastAsia="en-IN"/>
        </w:rPr>
        <w:t>u.s</w:t>
      </w:r>
      <w:r w:rsidR="00D27DAB" w:rsidRPr="009D4F47">
        <w:rPr>
          <w:rFonts w:ascii="Bookman Old Style" w:eastAsia="Times New Roman" w:hAnsi="Bookman Old Style" w:cs="Arial"/>
          <w:color w:val="222222"/>
          <w:lang w:eastAsia="en-IN"/>
        </w:rPr>
        <w:t>.</w:t>
      </w:r>
      <w:proofErr w:type="spellEnd"/>
      <w:r w:rsidRPr="009D4F47">
        <w:rPr>
          <w:rFonts w:ascii="Bookman Old Style" w:eastAsia="Times New Roman" w:hAnsi="Bookman Old Style" w:cs="Arial"/>
          <w:color w:val="222222"/>
          <w:lang w:eastAsia="en-IN"/>
        </w:rPr>
        <w:t xml:space="preserve"> 263 by the PCIT, who passed order two years later</w:t>
      </w:r>
      <w:r w:rsidR="001734DE">
        <w:rPr>
          <w:rFonts w:ascii="Bookman Old Style" w:eastAsia="Times New Roman" w:hAnsi="Bookman Old Style" w:cs="Arial"/>
          <w:color w:val="222222"/>
          <w:lang w:eastAsia="en-IN"/>
        </w:rPr>
        <w:t xml:space="preserve"> </w:t>
      </w:r>
      <w:r w:rsidR="00742FFB">
        <w:rPr>
          <w:rFonts w:ascii="Bookman Old Style" w:eastAsia="Times New Roman" w:hAnsi="Bookman Old Style" w:cs="Arial"/>
          <w:color w:val="222222"/>
          <w:lang w:eastAsia="en-IN"/>
        </w:rPr>
        <w:t>i.e. on 31.03.2016</w:t>
      </w:r>
      <w:r w:rsidRPr="009D4F47">
        <w:rPr>
          <w:rFonts w:ascii="Bookman Old Style" w:eastAsia="Times New Roman" w:hAnsi="Bookman Old Style" w:cs="Arial"/>
          <w:color w:val="222222"/>
          <w:lang w:eastAsia="en-IN"/>
        </w:rPr>
        <w:t>, after verifying</w:t>
      </w:r>
      <w:r w:rsidR="002179B8" w:rsidRPr="009D4F47">
        <w:rPr>
          <w:rFonts w:ascii="Bookman Old Style" w:eastAsia="Times New Roman" w:hAnsi="Bookman Old Style" w:cs="Arial"/>
          <w:color w:val="222222"/>
          <w:lang w:eastAsia="en-IN"/>
        </w:rPr>
        <w:t xml:space="preserve"> and examining</w:t>
      </w:r>
      <w:r w:rsidRPr="009D4F47">
        <w:rPr>
          <w:rFonts w:ascii="Bookman Old Style" w:eastAsia="Times New Roman" w:hAnsi="Bookman Old Style" w:cs="Arial"/>
          <w:color w:val="222222"/>
          <w:lang w:eastAsia="en-IN"/>
        </w:rPr>
        <w:t xml:space="preserve"> all </w:t>
      </w:r>
      <w:r w:rsidR="002179B8" w:rsidRPr="009D4F47">
        <w:rPr>
          <w:rFonts w:ascii="Bookman Old Style" w:eastAsia="Times New Roman" w:hAnsi="Bookman Old Style" w:cs="Arial"/>
          <w:color w:val="222222"/>
          <w:lang w:eastAsia="en-IN"/>
        </w:rPr>
        <w:t xml:space="preserve">material available on </w:t>
      </w:r>
      <w:r w:rsidRPr="009D4F47">
        <w:rPr>
          <w:rFonts w:ascii="Bookman Old Style" w:eastAsia="Times New Roman" w:hAnsi="Bookman Old Style" w:cs="Arial"/>
          <w:color w:val="222222"/>
          <w:lang w:eastAsia="en-IN"/>
        </w:rPr>
        <w:t xml:space="preserve">record, which </w:t>
      </w:r>
      <w:r w:rsidR="002179B8" w:rsidRPr="009D4F47">
        <w:rPr>
          <w:rFonts w:ascii="Bookman Old Style" w:eastAsia="Times New Roman" w:hAnsi="Bookman Old Style" w:cs="Arial"/>
          <w:color w:val="222222"/>
          <w:lang w:eastAsia="en-IN"/>
        </w:rPr>
        <w:t xml:space="preserve">proves that there was no lapse of revenue </w:t>
      </w:r>
      <w:r w:rsidRPr="009D4F47">
        <w:rPr>
          <w:rFonts w:ascii="Bookman Old Style" w:eastAsia="Times New Roman" w:hAnsi="Bookman Old Style" w:cs="Arial"/>
          <w:color w:val="222222"/>
          <w:lang w:eastAsia="en-IN"/>
        </w:rPr>
        <w:t>on this issue also.</w:t>
      </w:r>
      <w:r w:rsidR="0016731E" w:rsidRPr="009D4F47">
        <w:rPr>
          <w:rFonts w:ascii="Bookman Old Style" w:eastAsia="Times New Roman" w:hAnsi="Bookman Old Style" w:cs="Arial"/>
          <w:color w:val="222222"/>
          <w:lang w:eastAsia="en-IN"/>
        </w:rPr>
        <w:t xml:space="preserve"> Further, in the Article of Charge also the quantum of revenue loss is stated to be unascertained.</w:t>
      </w:r>
    </w:p>
    <w:p w:rsidR="00C738BA" w:rsidRPr="009D4F47" w:rsidRDefault="00C738BA" w:rsidP="00BF5E3B">
      <w:pPr>
        <w:pStyle w:val="ListParagraph"/>
        <w:shd w:val="clear" w:color="auto" w:fill="FFFFFF"/>
        <w:spacing w:before="120" w:after="0" w:line="276" w:lineRule="auto"/>
        <w:ind w:left="993" w:hanging="426"/>
        <w:jc w:val="both"/>
        <w:rPr>
          <w:rFonts w:ascii="Bookman Old Style" w:eastAsia="Times New Roman" w:hAnsi="Bookman Old Style" w:cs="Arial"/>
          <w:color w:val="222222"/>
          <w:lang w:eastAsia="en-IN"/>
        </w:rPr>
      </w:pPr>
    </w:p>
    <w:p w:rsidR="00C738BA" w:rsidRPr="001734DE" w:rsidRDefault="00C738BA"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sidRPr="001734DE">
        <w:rPr>
          <w:rFonts w:ascii="Bookman Old Style" w:eastAsia="Times New Roman" w:hAnsi="Bookman Old Style" w:cs="Arial"/>
          <w:color w:val="222222"/>
          <w:lang w:eastAsia="en-IN"/>
        </w:rPr>
        <w:t xml:space="preserve">In </w:t>
      </w:r>
      <w:r w:rsidR="00742FFB" w:rsidRPr="001734DE">
        <w:rPr>
          <w:rFonts w:ascii="Bookman Old Style" w:eastAsia="Times New Roman" w:hAnsi="Bookman Old Style" w:cs="Arial"/>
          <w:color w:val="222222"/>
          <w:lang w:eastAsia="en-IN"/>
        </w:rPr>
        <w:t xml:space="preserve">Article </w:t>
      </w:r>
      <w:r w:rsidR="002179B8" w:rsidRPr="001734DE">
        <w:rPr>
          <w:rFonts w:ascii="Bookman Old Style" w:eastAsia="Times New Roman" w:hAnsi="Bookman Old Style" w:cs="Arial"/>
          <w:color w:val="222222"/>
          <w:lang w:eastAsia="en-IN"/>
        </w:rPr>
        <w:t xml:space="preserve">of </w:t>
      </w:r>
      <w:r w:rsidR="00742FFB" w:rsidRPr="001734DE">
        <w:rPr>
          <w:rFonts w:ascii="Bookman Old Style" w:eastAsia="Times New Roman" w:hAnsi="Bookman Old Style" w:cs="Arial"/>
          <w:color w:val="222222"/>
          <w:lang w:eastAsia="en-IN"/>
        </w:rPr>
        <w:t xml:space="preserve">Charge Sheet </w:t>
      </w:r>
      <w:r w:rsidR="00713D31" w:rsidRPr="001734DE">
        <w:rPr>
          <w:rFonts w:ascii="Bookman Old Style" w:eastAsia="Times New Roman" w:hAnsi="Bookman Old Style" w:cs="Arial"/>
          <w:color w:val="222222"/>
          <w:lang w:eastAsia="en-IN"/>
        </w:rPr>
        <w:t xml:space="preserve">given to me </w:t>
      </w:r>
      <w:r w:rsidRPr="001734DE">
        <w:rPr>
          <w:rFonts w:ascii="Bookman Old Style" w:eastAsia="Times New Roman" w:hAnsi="Bookman Old Style" w:cs="Arial"/>
          <w:color w:val="222222"/>
          <w:lang w:eastAsia="en-IN"/>
        </w:rPr>
        <w:t xml:space="preserve">it is </w:t>
      </w:r>
      <w:r w:rsidR="002179B8" w:rsidRPr="001734DE">
        <w:rPr>
          <w:rFonts w:ascii="Bookman Old Style" w:eastAsia="Times New Roman" w:hAnsi="Bookman Old Style" w:cs="Arial"/>
          <w:color w:val="222222"/>
          <w:lang w:eastAsia="en-IN"/>
        </w:rPr>
        <w:t xml:space="preserve">stated </w:t>
      </w:r>
      <w:r w:rsidRPr="001734DE">
        <w:rPr>
          <w:rFonts w:ascii="Bookman Old Style" w:eastAsia="Times New Roman" w:hAnsi="Bookman Old Style" w:cs="Arial"/>
          <w:color w:val="222222"/>
          <w:lang w:eastAsia="en-IN"/>
        </w:rPr>
        <w:t xml:space="preserve">that </w:t>
      </w:r>
      <w:r w:rsidR="001734DE" w:rsidRPr="001734DE">
        <w:rPr>
          <w:rFonts w:ascii="Bookman Old Style" w:hAnsi="Bookman Old Style"/>
        </w:rPr>
        <w:t>findings/conclusions drawn in the Appraisal Report were conclusive.</w:t>
      </w:r>
      <w:r w:rsidR="001734DE">
        <w:rPr>
          <w:rFonts w:ascii="Bookman Old Style" w:hAnsi="Bookman Old Style"/>
        </w:rPr>
        <w:t xml:space="preserve"> It is pertinent to mention that around same time </w:t>
      </w:r>
      <w:r w:rsidR="002179B8" w:rsidRPr="001734DE">
        <w:rPr>
          <w:rFonts w:ascii="Bookman Old Style" w:eastAsia="Times New Roman" w:hAnsi="Bookman Old Style" w:cs="Arial"/>
          <w:color w:val="222222"/>
          <w:lang w:eastAsia="en-IN"/>
        </w:rPr>
        <w:t xml:space="preserve">a similar Memorandum of Charge </w:t>
      </w:r>
      <w:r w:rsidR="00771981">
        <w:rPr>
          <w:rFonts w:ascii="Bookman Old Style" w:eastAsia="Times New Roman" w:hAnsi="Bookman Old Style" w:cs="Arial"/>
          <w:color w:val="222222"/>
          <w:lang w:eastAsia="en-IN"/>
        </w:rPr>
        <w:t xml:space="preserve">Sheet </w:t>
      </w:r>
      <w:r w:rsidR="00F214D4" w:rsidRPr="001734DE">
        <w:rPr>
          <w:rFonts w:ascii="Bookman Old Style" w:eastAsia="Times New Roman" w:hAnsi="Bookman Old Style" w:cs="Arial"/>
          <w:color w:val="222222"/>
          <w:lang w:eastAsia="en-IN"/>
        </w:rPr>
        <w:t xml:space="preserve">of even date i.e. 01.03.2021 </w:t>
      </w:r>
      <w:r w:rsidR="002179B8" w:rsidRPr="001734DE">
        <w:rPr>
          <w:rFonts w:ascii="Bookman Old Style" w:eastAsia="Times New Roman" w:hAnsi="Bookman Old Style" w:cs="Arial"/>
          <w:color w:val="222222"/>
          <w:lang w:eastAsia="en-IN"/>
        </w:rPr>
        <w:t xml:space="preserve">is </w:t>
      </w:r>
      <w:r w:rsidR="00F214D4" w:rsidRPr="001734DE">
        <w:rPr>
          <w:rFonts w:ascii="Bookman Old Style" w:eastAsia="Times New Roman" w:hAnsi="Bookman Old Style" w:cs="Arial"/>
          <w:color w:val="222222"/>
          <w:lang w:eastAsia="en-IN"/>
        </w:rPr>
        <w:t xml:space="preserve">also </w:t>
      </w:r>
      <w:r w:rsidR="002179B8" w:rsidRPr="001734DE">
        <w:rPr>
          <w:rFonts w:ascii="Bookman Old Style" w:eastAsia="Times New Roman" w:hAnsi="Bookman Old Style" w:cs="Arial"/>
          <w:color w:val="222222"/>
          <w:lang w:eastAsia="en-IN"/>
        </w:rPr>
        <w:t xml:space="preserve">given to the then </w:t>
      </w:r>
      <w:proofErr w:type="spellStart"/>
      <w:r w:rsidR="002179B8" w:rsidRPr="001734DE">
        <w:rPr>
          <w:rFonts w:ascii="Bookman Old Style" w:eastAsia="Times New Roman" w:hAnsi="Bookman Old Style" w:cs="Arial"/>
          <w:color w:val="222222"/>
          <w:lang w:eastAsia="en-IN"/>
        </w:rPr>
        <w:t>Addl</w:t>
      </w:r>
      <w:proofErr w:type="spellEnd"/>
      <w:r w:rsidR="002179B8" w:rsidRPr="001734DE">
        <w:rPr>
          <w:rFonts w:ascii="Bookman Old Style" w:eastAsia="Times New Roman" w:hAnsi="Bookman Old Style" w:cs="Arial"/>
          <w:color w:val="222222"/>
          <w:lang w:eastAsia="en-IN"/>
        </w:rPr>
        <w:t xml:space="preserve"> DIT (</w:t>
      </w:r>
      <w:proofErr w:type="spellStart"/>
      <w:r w:rsidR="002179B8" w:rsidRPr="001734DE">
        <w:rPr>
          <w:rFonts w:ascii="Bookman Old Style" w:eastAsia="Times New Roman" w:hAnsi="Bookman Old Style" w:cs="Arial"/>
          <w:color w:val="222222"/>
          <w:lang w:eastAsia="en-IN"/>
        </w:rPr>
        <w:t>Inv</w:t>
      </w:r>
      <w:proofErr w:type="spellEnd"/>
      <w:r w:rsidR="002179B8" w:rsidRPr="001734DE">
        <w:rPr>
          <w:rFonts w:ascii="Bookman Old Style" w:eastAsia="Times New Roman" w:hAnsi="Bookman Old Style" w:cs="Arial"/>
          <w:color w:val="222222"/>
          <w:lang w:eastAsia="en-IN"/>
        </w:rPr>
        <w:t xml:space="preserve">), Mumbai and the </w:t>
      </w:r>
      <w:r w:rsidR="00771981">
        <w:rPr>
          <w:rFonts w:ascii="Bookman Old Style" w:eastAsia="Times New Roman" w:hAnsi="Bookman Old Style" w:cs="Arial"/>
          <w:color w:val="222222"/>
          <w:lang w:eastAsia="en-IN"/>
        </w:rPr>
        <w:t xml:space="preserve">then </w:t>
      </w:r>
      <w:r w:rsidR="002179B8" w:rsidRPr="001734DE">
        <w:rPr>
          <w:rFonts w:ascii="Bookman Old Style" w:eastAsia="Times New Roman" w:hAnsi="Bookman Old Style" w:cs="Arial"/>
          <w:color w:val="222222"/>
          <w:lang w:eastAsia="en-IN"/>
        </w:rPr>
        <w:t>DDIT(Inv), Mumbai who had conducted the search &amp; Seizure action on this group</w:t>
      </w:r>
      <w:r w:rsidR="00F214D4" w:rsidRPr="001734DE">
        <w:rPr>
          <w:rFonts w:ascii="Bookman Old Style" w:eastAsia="Times New Roman" w:hAnsi="Bookman Old Style" w:cs="Arial"/>
          <w:color w:val="222222"/>
          <w:lang w:eastAsia="en-IN"/>
        </w:rPr>
        <w:t xml:space="preserve"> and prepared the Appraisal report after carrying out the Investigation</w:t>
      </w:r>
      <w:r w:rsidR="002179B8" w:rsidRPr="001734DE">
        <w:rPr>
          <w:rFonts w:ascii="Bookman Old Style" w:eastAsia="Times New Roman" w:hAnsi="Bookman Old Style" w:cs="Arial"/>
          <w:color w:val="222222"/>
          <w:lang w:eastAsia="en-IN"/>
        </w:rPr>
        <w:t xml:space="preserve">. The Charges levelled against them are that </w:t>
      </w:r>
      <w:r w:rsidR="00F978DF" w:rsidRPr="001734DE">
        <w:rPr>
          <w:rFonts w:ascii="Bookman Old Style" w:eastAsia="Times New Roman" w:hAnsi="Bookman Old Style" w:cs="Arial"/>
          <w:color w:val="222222"/>
          <w:lang w:eastAsia="en-IN"/>
        </w:rPr>
        <w:t xml:space="preserve">in the Appraisal Report they have given a </w:t>
      </w:r>
      <w:proofErr w:type="gramStart"/>
      <w:r w:rsidR="00F978DF" w:rsidRPr="001734DE">
        <w:rPr>
          <w:rFonts w:ascii="Bookman Old Style" w:eastAsia="Times New Roman" w:hAnsi="Bookman Old Style" w:cs="Arial"/>
          <w:color w:val="222222"/>
          <w:lang w:eastAsia="en-IN"/>
        </w:rPr>
        <w:t>very</w:t>
      </w:r>
      <w:proofErr w:type="gramEnd"/>
      <w:r w:rsidR="00F978DF" w:rsidRPr="001734DE">
        <w:rPr>
          <w:rFonts w:ascii="Bookman Old Style" w:eastAsia="Times New Roman" w:hAnsi="Bookman Old Style" w:cs="Arial"/>
          <w:color w:val="222222"/>
          <w:lang w:eastAsia="en-IN"/>
        </w:rPr>
        <w:t xml:space="preserve"> generalized description/analyses of the data contained in the seized/impounded computer back up and failed to critically analyze the s</w:t>
      </w:r>
      <w:r w:rsidR="00CA7BBE" w:rsidRPr="001734DE">
        <w:rPr>
          <w:rFonts w:ascii="Bookman Old Style" w:eastAsia="Times New Roman" w:hAnsi="Bookman Old Style" w:cs="Arial"/>
          <w:color w:val="222222"/>
          <w:lang w:eastAsia="en-IN"/>
        </w:rPr>
        <w:t>e</w:t>
      </w:r>
      <w:r w:rsidR="00F978DF" w:rsidRPr="001734DE">
        <w:rPr>
          <w:rFonts w:ascii="Bookman Old Style" w:eastAsia="Times New Roman" w:hAnsi="Bookman Old Style" w:cs="Arial"/>
          <w:color w:val="222222"/>
          <w:lang w:eastAsia="en-IN"/>
        </w:rPr>
        <w:t xml:space="preserve">ized </w:t>
      </w:r>
      <w:r w:rsidR="00CA7BBE" w:rsidRPr="001734DE">
        <w:rPr>
          <w:rFonts w:ascii="Bookman Old Style" w:eastAsia="Times New Roman" w:hAnsi="Bookman Old Style" w:cs="Arial"/>
          <w:color w:val="222222"/>
          <w:lang w:eastAsia="en-IN"/>
        </w:rPr>
        <w:t xml:space="preserve">data and also </w:t>
      </w:r>
      <w:r w:rsidR="00CA7BBE" w:rsidRPr="001734DE">
        <w:rPr>
          <w:rFonts w:ascii="Bookman Old Style" w:eastAsia="Times New Roman" w:hAnsi="Bookman Old Style" w:cs="Arial"/>
          <w:b/>
          <w:bCs/>
          <w:color w:val="222222"/>
          <w:lang w:eastAsia="en-IN"/>
        </w:rPr>
        <w:t>failed to give concrete suggestions in the Appraisal Report.</w:t>
      </w:r>
      <w:r w:rsidR="00771981">
        <w:rPr>
          <w:rFonts w:ascii="Bookman Old Style" w:eastAsia="Times New Roman" w:hAnsi="Bookman Old Style" w:cs="Arial"/>
          <w:b/>
          <w:bCs/>
          <w:color w:val="222222"/>
          <w:lang w:eastAsia="en-IN"/>
        </w:rPr>
        <w:t xml:space="preserve"> </w:t>
      </w:r>
      <w:r w:rsidR="00713D31" w:rsidRPr="001734DE">
        <w:rPr>
          <w:rFonts w:ascii="Bookman Old Style" w:eastAsia="Times New Roman" w:hAnsi="Bookman Old Style" w:cs="Arial"/>
          <w:color w:val="222222"/>
          <w:lang w:eastAsia="en-IN"/>
        </w:rPr>
        <w:t xml:space="preserve">Thus, charges levelled against </w:t>
      </w:r>
      <w:proofErr w:type="spellStart"/>
      <w:r w:rsidR="00B86DA7" w:rsidRPr="001734DE">
        <w:rPr>
          <w:rFonts w:ascii="Bookman Old Style" w:eastAsia="Times New Roman" w:hAnsi="Bookman Old Style" w:cs="Arial"/>
          <w:color w:val="222222"/>
          <w:lang w:eastAsia="en-IN"/>
        </w:rPr>
        <w:t>Addl</w:t>
      </w:r>
      <w:proofErr w:type="spellEnd"/>
      <w:r w:rsidR="00B86DA7" w:rsidRPr="001734DE">
        <w:rPr>
          <w:rFonts w:ascii="Bookman Old Style" w:eastAsia="Times New Roman" w:hAnsi="Bookman Old Style" w:cs="Arial"/>
          <w:color w:val="222222"/>
          <w:lang w:eastAsia="en-IN"/>
        </w:rPr>
        <w:t xml:space="preserve"> DIT (</w:t>
      </w:r>
      <w:proofErr w:type="spellStart"/>
      <w:r w:rsidR="00B86DA7" w:rsidRPr="001734DE">
        <w:rPr>
          <w:rFonts w:ascii="Bookman Old Style" w:eastAsia="Times New Roman" w:hAnsi="Bookman Old Style" w:cs="Arial"/>
          <w:color w:val="222222"/>
          <w:lang w:eastAsia="en-IN"/>
        </w:rPr>
        <w:t>Inv</w:t>
      </w:r>
      <w:proofErr w:type="spellEnd"/>
      <w:r w:rsidR="00B86DA7" w:rsidRPr="001734DE">
        <w:rPr>
          <w:rFonts w:ascii="Bookman Old Style" w:eastAsia="Times New Roman" w:hAnsi="Bookman Old Style" w:cs="Arial"/>
          <w:color w:val="222222"/>
          <w:lang w:eastAsia="en-IN"/>
        </w:rPr>
        <w:t xml:space="preserve">) &amp; DDIT (Inv) </w:t>
      </w:r>
      <w:r w:rsidR="00CA7BBE" w:rsidRPr="001734DE">
        <w:rPr>
          <w:rFonts w:ascii="Bookman Old Style" w:eastAsia="Times New Roman" w:hAnsi="Bookman Old Style" w:cs="Arial"/>
          <w:color w:val="222222"/>
          <w:lang w:eastAsia="en-IN"/>
        </w:rPr>
        <w:t xml:space="preserve">are quite contrary to </w:t>
      </w:r>
      <w:r w:rsidR="00CA7BBE" w:rsidRPr="001734DE">
        <w:rPr>
          <w:rFonts w:ascii="Bookman Old Style" w:eastAsia="Times New Roman" w:hAnsi="Bookman Old Style" w:cs="Arial"/>
          <w:color w:val="222222"/>
          <w:lang w:eastAsia="en-IN"/>
        </w:rPr>
        <w:lastRenderedPageBreak/>
        <w:t xml:space="preserve">charges levelled against me where in it is stated that </w:t>
      </w:r>
      <w:r w:rsidR="00B86DA7" w:rsidRPr="001734DE">
        <w:rPr>
          <w:rFonts w:ascii="Bookman Old Style" w:eastAsia="Times New Roman" w:hAnsi="Bookman Old Style" w:cs="Arial"/>
          <w:color w:val="222222"/>
          <w:lang w:eastAsia="en-IN"/>
        </w:rPr>
        <w:t xml:space="preserve">the </w:t>
      </w:r>
      <w:r w:rsidR="00B86DA7" w:rsidRPr="001734DE">
        <w:rPr>
          <w:rFonts w:ascii="Bookman Old Style" w:hAnsi="Bookman Old Style"/>
        </w:rPr>
        <w:t xml:space="preserve">findings/conclusions drawn in the Appraisal Report were conclusive and indicative and the AO has not acted upon it accordingly. </w:t>
      </w:r>
      <w:r w:rsidR="00C66286" w:rsidRPr="001734DE">
        <w:rPr>
          <w:rFonts w:ascii="Bookman Old Style" w:hAnsi="Bookman Old Style"/>
        </w:rPr>
        <w:t xml:space="preserve">Thus, Charge sheet has been issued to me without correct appreciation facts available on record. Therefore, </w:t>
      </w:r>
      <w:r w:rsidRPr="001734DE">
        <w:rPr>
          <w:rFonts w:ascii="Bookman Old Style" w:eastAsia="Times New Roman" w:hAnsi="Bookman Old Style" w:cs="Arial"/>
          <w:color w:val="222222"/>
          <w:lang w:eastAsia="en-IN"/>
        </w:rPr>
        <w:t xml:space="preserve">no proceedings </w:t>
      </w:r>
      <w:proofErr w:type="gramStart"/>
      <w:r w:rsidRPr="001734DE">
        <w:rPr>
          <w:rFonts w:ascii="Bookman Old Style" w:eastAsia="Times New Roman" w:hAnsi="Bookman Old Style" w:cs="Arial"/>
          <w:color w:val="222222"/>
          <w:lang w:eastAsia="en-IN"/>
        </w:rPr>
        <w:t>be</w:t>
      </w:r>
      <w:proofErr w:type="gramEnd"/>
      <w:r w:rsidRPr="001734DE">
        <w:rPr>
          <w:rFonts w:ascii="Bookman Old Style" w:eastAsia="Times New Roman" w:hAnsi="Bookman Old Style" w:cs="Arial"/>
          <w:color w:val="222222"/>
          <w:lang w:eastAsia="en-IN"/>
        </w:rPr>
        <w:t xml:space="preserve"> initiated </w:t>
      </w:r>
      <w:r w:rsidR="00B86DA7" w:rsidRPr="001734DE">
        <w:rPr>
          <w:rFonts w:ascii="Bookman Old Style" w:eastAsia="Times New Roman" w:hAnsi="Bookman Old Style" w:cs="Arial"/>
          <w:color w:val="222222"/>
          <w:lang w:eastAsia="en-IN"/>
        </w:rPr>
        <w:t xml:space="preserve">against me </w:t>
      </w:r>
      <w:r w:rsidRPr="001734DE">
        <w:rPr>
          <w:rFonts w:ascii="Bookman Old Style" w:eastAsia="Times New Roman" w:hAnsi="Bookman Old Style" w:cs="Arial"/>
          <w:color w:val="222222"/>
          <w:lang w:eastAsia="en-IN"/>
        </w:rPr>
        <w:t xml:space="preserve">till charges are proved against </w:t>
      </w:r>
      <w:proofErr w:type="spellStart"/>
      <w:r w:rsidR="0016731E" w:rsidRPr="001734DE">
        <w:rPr>
          <w:rFonts w:ascii="Bookman Old Style" w:eastAsia="Times New Roman" w:hAnsi="Bookman Old Style" w:cs="Arial"/>
          <w:color w:val="222222"/>
          <w:lang w:eastAsia="en-IN"/>
        </w:rPr>
        <w:t>Addl</w:t>
      </w:r>
      <w:proofErr w:type="spellEnd"/>
      <w:r w:rsidR="0016731E" w:rsidRPr="001734DE">
        <w:rPr>
          <w:rFonts w:ascii="Bookman Old Style" w:eastAsia="Times New Roman" w:hAnsi="Bookman Old Style" w:cs="Arial"/>
          <w:color w:val="222222"/>
          <w:lang w:eastAsia="en-IN"/>
        </w:rPr>
        <w:t xml:space="preserve"> </w:t>
      </w:r>
      <w:r w:rsidR="00771981">
        <w:rPr>
          <w:rFonts w:ascii="Bookman Old Style" w:eastAsia="Times New Roman" w:hAnsi="Bookman Old Style" w:cs="Arial"/>
          <w:color w:val="222222"/>
          <w:lang w:eastAsia="en-IN"/>
        </w:rPr>
        <w:t>D</w:t>
      </w:r>
      <w:r w:rsidR="0016731E" w:rsidRPr="001734DE">
        <w:rPr>
          <w:rFonts w:ascii="Bookman Old Style" w:eastAsia="Times New Roman" w:hAnsi="Bookman Old Style" w:cs="Arial"/>
          <w:color w:val="222222"/>
          <w:lang w:eastAsia="en-IN"/>
        </w:rPr>
        <w:t>IT (</w:t>
      </w:r>
      <w:proofErr w:type="spellStart"/>
      <w:r w:rsidR="0016731E" w:rsidRPr="001734DE">
        <w:rPr>
          <w:rFonts w:ascii="Bookman Old Style" w:eastAsia="Times New Roman" w:hAnsi="Bookman Old Style" w:cs="Arial"/>
          <w:color w:val="222222"/>
          <w:lang w:eastAsia="en-IN"/>
        </w:rPr>
        <w:t>Inv</w:t>
      </w:r>
      <w:proofErr w:type="spellEnd"/>
      <w:r w:rsidR="0016731E" w:rsidRPr="001734DE">
        <w:rPr>
          <w:rFonts w:ascii="Bookman Old Style" w:eastAsia="Times New Roman" w:hAnsi="Bookman Old Style" w:cs="Arial"/>
          <w:color w:val="222222"/>
          <w:lang w:eastAsia="en-IN"/>
        </w:rPr>
        <w:t xml:space="preserve">) &amp; DDIT (Inv). </w:t>
      </w:r>
    </w:p>
    <w:p w:rsidR="0016731E" w:rsidRPr="009D4F47" w:rsidRDefault="0016731E" w:rsidP="00BF5E3B">
      <w:pPr>
        <w:pStyle w:val="ListParagraph"/>
        <w:ind w:hanging="426"/>
        <w:rPr>
          <w:rFonts w:ascii="Bookman Old Style" w:eastAsia="Times New Roman" w:hAnsi="Bookman Old Style" w:cs="Arial"/>
          <w:color w:val="222222"/>
          <w:lang w:eastAsia="en-IN"/>
        </w:rPr>
      </w:pPr>
    </w:p>
    <w:p w:rsidR="0016731E" w:rsidRPr="009D4F47" w:rsidRDefault="00BF5E3B"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sidRPr="009D4F47">
        <w:rPr>
          <w:rFonts w:ascii="Bookman Old Style" w:eastAsia="Times New Roman" w:hAnsi="Bookman Old Style" w:cs="Arial"/>
          <w:color w:val="222222"/>
          <w:lang w:eastAsia="en-IN"/>
        </w:rPr>
        <w:t xml:space="preserve">In spite of very negligible time period of 59 days made available to me to complete the assessment, all the issues emanating from the Appraisal Report as well as from the seized / impounded documents have been discussed with the then Addl. CIT, CR-2, Mumbai almost on day-to-day basis before finalizing the assessments. Further, discussion on each such issues was also done by the </w:t>
      </w:r>
      <w:proofErr w:type="spellStart"/>
      <w:r w:rsidRPr="009D4F47">
        <w:rPr>
          <w:rFonts w:ascii="Bookman Old Style" w:eastAsia="Times New Roman" w:hAnsi="Bookman Old Style" w:cs="Arial"/>
          <w:color w:val="222222"/>
          <w:lang w:eastAsia="en-IN"/>
        </w:rPr>
        <w:t>Addl</w:t>
      </w:r>
      <w:proofErr w:type="spellEnd"/>
      <w:r w:rsidRPr="009D4F47">
        <w:rPr>
          <w:rFonts w:ascii="Bookman Old Style" w:eastAsia="Times New Roman" w:hAnsi="Bookman Old Style" w:cs="Arial"/>
          <w:color w:val="222222"/>
          <w:lang w:eastAsia="en-IN"/>
        </w:rPr>
        <w:t xml:space="preserve"> CIT with the Pr. CIT (Central)-1, Mumbai and the CCIT (Central), Mumbai from time to time apprising them of the progress made on various issues and line of action being taken thereupon. The Assessment Order in respect of entire group cases was passed after obtaining necessary approval of the </w:t>
      </w:r>
      <w:proofErr w:type="spellStart"/>
      <w:r w:rsidRPr="009D4F47">
        <w:rPr>
          <w:rFonts w:ascii="Bookman Old Style" w:eastAsia="Times New Roman" w:hAnsi="Bookman Old Style" w:cs="Arial"/>
          <w:color w:val="222222"/>
          <w:lang w:eastAsia="en-IN"/>
        </w:rPr>
        <w:t>Addl</w:t>
      </w:r>
      <w:proofErr w:type="spellEnd"/>
      <w:r w:rsidRPr="009D4F47">
        <w:rPr>
          <w:rFonts w:ascii="Bookman Old Style" w:eastAsia="Times New Roman" w:hAnsi="Bookman Old Style" w:cs="Arial"/>
          <w:color w:val="222222"/>
          <w:lang w:eastAsia="en-IN"/>
        </w:rPr>
        <w:t xml:space="preserve"> CIT CR-2, Mumbai.</w:t>
      </w:r>
    </w:p>
    <w:p w:rsidR="00BF5E3B" w:rsidRPr="009D4F47" w:rsidRDefault="00BF5E3B" w:rsidP="00BF5E3B">
      <w:pPr>
        <w:pStyle w:val="ListParagraph"/>
        <w:rPr>
          <w:rFonts w:ascii="Bookman Old Style" w:eastAsia="Times New Roman" w:hAnsi="Bookman Old Style" w:cs="Arial"/>
          <w:color w:val="222222"/>
          <w:lang w:eastAsia="en-IN"/>
        </w:rPr>
      </w:pPr>
    </w:p>
    <w:p w:rsidR="00BF5E3B" w:rsidRDefault="00BF5E3B"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sidRPr="009D4F47">
        <w:rPr>
          <w:rFonts w:ascii="Bookman Old Style" w:eastAsia="Times New Roman" w:hAnsi="Bookman Old Style" w:cs="Arial"/>
          <w:color w:val="222222"/>
          <w:lang w:eastAsia="en-IN"/>
        </w:rPr>
        <w:t xml:space="preserve">The search action in this case was conducted on 28-06-2011 and the scrutiny assessments were completed on 31-03-2014 i.e. 33 months after the search. However, out of the 33 months, the jurisdiction of this case was with me for just last 2 months only to carry out the necessary investigations and to complete the assessments. No investigation was done by my predecessors-in-office during the entire period of 27 months they were seized with this case and first reply of the assessee in response to Notice u/s 142(1) was received in September, 2013. Thereafter, some notices u/s 142(1) and 133(6) were issued without any concrete progress in the case. The real work of investigation was started only after the case was transferred to me at the end of January, 2014. This group of cases were transferred to </w:t>
      </w:r>
      <w:r w:rsidR="009D4F47" w:rsidRPr="009D4F47">
        <w:rPr>
          <w:rFonts w:ascii="Bookman Old Style" w:eastAsia="Times New Roman" w:hAnsi="Bookman Old Style" w:cs="Arial"/>
          <w:color w:val="222222"/>
          <w:lang w:eastAsia="en-IN"/>
        </w:rPr>
        <w:t xml:space="preserve">my Charge, </w:t>
      </w:r>
      <w:r w:rsidRPr="009D4F47">
        <w:rPr>
          <w:rFonts w:ascii="Bookman Old Style" w:eastAsia="Times New Roman" w:hAnsi="Bookman Old Style" w:cs="Arial"/>
          <w:color w:val="222222"/>
          <w:lang w:eastAsia="en-IN"/>
        </w:rPr>
        <w:t xml:space="preserve">as it was found in the Review Meeting by the Member (Investigation), CBDT in January 2014, that there was not much progress made in the assessments even after a period of 2 years and 3 months after it was centralized in Central Circle-11 under Central Range-3, Mumbai. When it was handed over </w:t>
      </w:r>
      <w:r w:rsidR="00B86DA7">
        <w:rPr>
          <w:rFonts w:ascii="Bookman Old Style" w:eastAsia="Times New Roman" w:hAnsi="Bookman Old Style" w:cs="Arial"/>
          <w:color w:val="222222"/>
          <w:lang w:eastAsia="en-IN"/>
        </w:rPr>
        <w:t xml:space="preserve">to me </w:t>
      </w:r>
      <w:r w:rsidRPr="009D4F47">
        <w:rPr>
          <w:rFonts w:ascii="Bookman Old Style" w:eastAsia="Times New Roman" w:hAnsi="Bookman Old Style" w:cs="Arial"/>
          <w:color w:val="222222"/>
          <w:lang w:eastAsia="en-IN"/>
        </w:rPr>
        <w:t xml:space="preserve">by the end of January 2014, there were no specific notes handed over on the status of the case, on the enquiries conducted or pending, the outcome of it, if any, the quantification of any additions proposed to be made or the possible line of action for scrutinizing the group of cases. </w:t>
      </w:r>
      <w:r w:rsidR="009D4F47" w:rsidRPr="009D4F47">
        <w:rPr>
          <w:rFonts w:ascii="Bookman Old Style" w:eastAsia="Times New Roman" w:hAnsi="Bookman Old Style" w:cs="Arial"/>
          <w:color w:val="222222"/>
          <w:lang w:eastAsia="en-IN"/>
        </w:rPr>
        <w:t xml:space="preserve">Despite such clear </w:t>
      </w:r>
      <w:r w:rsidR="00B86DA7">
        <w:rPr>
          <w:rFonts w:ascii="Bookman Old Style" w:eastAsia="Times New Roman" w:hAnsi="Bookman Old Style" w:cs="Arial"/>
          <w:color w:val="222222"/>
          <w:lang w:eastAsia="en-IN"/>
        </w:rPr>
        <w:t>c</w:t>
      </w:r>
      <w:r w:rsidR="009D4F47" w:rsidRPr="009D4F47">
        <w:rPr>
          <w:rFonts w:ascii="Bookman Old Style" w:eastAsia="Times New Roman" w:hAnsi="Bookman Old Style" w:cs="Arial"/>
          <w:color w:val="222222"/>
          <w:lang w:eastAsia="en-IN"/>
        </w:rPr>
        <w:t>ut lapses and negligence, no Charge Sheet has been given to my predecessors who had held the charge over this case for 27 months</w:t>
      </w:r>
      <w:r w:rsidR="00B86DA7">
        <w:rPr>
          <w:rFonts w:ascii="Bookman Old Style" w:eastAsia="Times New Roman" w:hAnsi="Bookman Old Style" w:cs="Arial"/>
          <w:color w:val="222222"/>
          <w:lang w:eastAsia="en-IN"/>
        </w:rPr>
        <w:t xml:space="preserve"> and the vigilance matter in their case has been closed as per CVCs letter dated 28,12,2020 on recommendation of CBDT made vide letter dated 06.11.2020</w:t>
      </w:r>
      <w:r w:rsidR="009D4F47" w:rsidRPr="009D4F47">
        <w:rPr>
          <w:rFonts w:ascii="Bookman Old Style" w:eastAsia="Times New Roman" w:hAnsi="Bookman Old Style" w:cs="Arial"/>
          <w:color w:val="222222"/>
          <w:lang w:eastAsia="en-IN"/>
        </w:rPr>
        <w:t>.</w:t>
      </w:r>
    </w:p>
    <w:p w:rsidR="00B86DA7" w:rsidRDefault="00B86DA7" w:rsidP="00B86DA7">
      <w:pPr>
        <w:pStyle w:val="ListParagraph"/>
        <w:shd w:val="clear" w:color="auto" w:fill="FFFFFF"/>
        <w:spacing w:before="120" w:after="0" w:line="276" w:lineRule="auto"/>
        <w:ind w:left="993"/>
        <w:jc w:val="both"/>
        <w:rPr>
          <w:rFonts w:ascii="Bookman Old Style" w:eastAsia="Times New Roman" w:hAnsi="Bookman Old Style" w:cs="Arial"/>
          <w:color w:val="222222"/>
          <w:lang w:eastAsia="en-IN"/>
        </w:rPr>
      </w:pPr>
    </w:p>
    <w:p w:rsidR="00B86DA7" w:rsidRPr="00A51909" w:rsidRDefault="00B86DA7"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Pr>
          <w:rFonts w:ascii="Bookman Old Style" w:hAnsi="Bookman Old Style"/>
        </w:rPr>
        <w:t xml:space="preserve">The entire group case was subjected to Revenue Audit by CAG and no adverse finding or objection has been raised by </w:t>
      </w:r>
      <w:r w:rsidR="00C66286">
        <w:rPr>
          <w:rFonts w:ascii="Bookman Old Style" w:hAnsi="Bookman Old Style"/>
        </w:rPr>
        <w:t xml:space="preserve">it </w:t>
      </w:r>
      <w:r>
        <w:rPr>
          <w:rFonts w:ascii="Bookman Old Style" w:hAnsi="Bookman Old Style"/>
        </w:rPr>
        <w:t>in this case.</w:t>
      </w:r>
    </w:p>
    <w:p w:rsidR="00A51909" w:rsidRPr="00A51909" w:rsidRDefault="00A51909" w:rsidP="00A51909">
      <w:pPr>
        <w:pStyle w:val="ListParagraph"/>
        <w:rPr>
          <w:rFonts w:ascii="Bookman Old Style" w:eastAsia="Times New Roman" w:hAnsi="Bookman Old Style" w:cs="Arial"/>
          <w:color w:val="222222"/>
          <w:lang w:eastAsia="en-IN"/>
        </w:rPr>
      </w:pPr>
    </w:p>
    <w:p w:rsidR="00A51909" w:rsidRPr="00A51909" w:rsidRDefault="00A51909"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sidRPr="009D4F47">
        <w:rPr>
          <w:rFonts w:ascii="Bookman Old Style" w:eastAsia="Times New Roman" w:hAnsi="Bookman Old Style" w:cs="Arial"/>
          <w:color w:val="222222"/>
          <w:lang w:eastAsia="en-IN"/>
        </w:rPr>
        <w:lastRenderedPageBreak/>
        <w:t>Complete record required for Inspection copies of documents as per Annexure III to memo is still not provided to me.</w:t>
      </w:r>
    </w:p>
    <w:p w:rsidR="00A51909" w:rsidRPr="00A51909" w:rsidRDefault="00A51909" w:rsidP="00A51909">
      <w:pPr>
        <w:pStyle w:val="ListParagraph"/>
        <w:rPr>
          <w:rFonts w:ascii="Bookman Old Style" w:eastAsia="Times New Roman" w:hAnsi="Bookman Old Style" w:cs="Arial"/>
          <w:color w:val="222222"/>
          <w:lang w:eastAsia="en-IN"/>
        </w:rPr>
      </w:pPr>
    </w:p>
    <w:p w:rsidR="00C738BA" w:rsidRPr="009D4F47" w:rsidRDefault="00C738BA" w:rsidP="00A51909">
      <w:pPr>
        <w:pStyle w:val="ListParagraph"/>
        <w:shd w:val="clear" w:color="auto" w:fill="FFFFFF"/>
        <w:spacing w:before="120" w:after="0" w:line="276" w:lineRule="auto"/>
        <w:jc w:val="both"/>
        <w:rPr>
          <w:rFonts w:ascii="Bookman Old Style" w:eastAsia="Times New Roman" w:hAnsi="Bookman Old Style" w:cs="Arial"/>
          <w:color w:val="222222"/>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535"/>
        <w:gridCol w:w="4253"/>
        <w:gridCol w:w="4238"/>
      </w:tblGrid>
      <w:tr w:rsidR="00BF5E3B" w:rsidRPr="009D4F47" w:rsidTr="00BF5E3B">
        <w:tc>
          <w:tcPr>
            <w:tcW w:w="535" w:type="dxa"/>
            <w:tcMar>
              <w:top w:w="0" w:type="dxa"/>
              <w:left w:w="240" w:type="dxa"/>
              <w:bottom w:w="0" w:type="dxa"/>
              <w:right w:w="240" w:type="dxa"/>
            </w:tcMar>
          </w:tcPr>
          <w:p w:rsidR="00BF5E3B" w:rsidRPr="009D4F47" w:rsidRDefault="00BF5E3B" w:rsidP="009B028F">
            <w:pPr>
              <w:spacing w:after="0" w:line="240" w:lineRule="auto"/>
              <w:ind w:left="993" w:hanging="284"/>
              <w:jc w:val="both"/>
              <w:rPr>
                <w:rFonts w:ascii="Bookman Old Style" w:eastAsia="Times New Roman" w:hAnsi="Bookman Old Style" w:cs="Arial"/>
                <w:color w:val="222222"/>
                <w:lang w:eastAsia="en-IN"/>
              </w:rPr>
            </w:pPr>
          </w:p>
        </w:tc>
        <w:tc>
          <w:tcPr>
            <w:tcW w:w="4253" w:type="dxa"/>
          </w:tcPr>
          <w:p w:rsidR="00BF5E3B" w:rsidRPr="009D4F47" w:rsidRDefault="00BF5E3B" w:rsidP="009B028F">
            <w:pPr>
              <w:shd w:val="clear" w:color="auto" w:fill="FFFFFF"/>
              <w:spacing w:after="0" w:line="300" w:lineRule="atLeast"/>
              <w:ind w:left="993" w:hanging="284"/>
              <w:jc w:val="both"/>
              <w:rPr>
                <w:rFonts w:ascii="Bookman Old Style" w:eastAsia="Times New Roman" w:hAnsi="Bookman Old Style" w:cs="Arial"/>
                <w:color w:val="222222"/>
                <w:lang w:eastAsia="en-IN"/>
              </w:rPr>
            </w:pPr>
          </w:p>
        </w:tc>
        <w:tc>
          <w:tcPr>
            <w:tcW w:w="4238" w:type="dxa"/>
            <w:tcMar>
              <w:top w:w="0" w:type="dxa"/>
              <w:left w:w="0" w:type="dxa"/>
              <w:bottom w:w="0" w:type="dxa"/>
              <w:right w:w="0" w:type="dxa"/>
            </w:tcMar>
            <w:vAlign w:val="center"/>
          </w:tcPr>
          <w:p w:rsidR="00BF5E3B" w:rsidRPr="009D4F47" w:rsidRDefault="00BF5E3B" w:rsidP="009B028F">
            <w:pPr>
              <w:shd w:val="clear" w:color="auto" w:fill="FFFFFF"/>
              <w:spacing w:after="0" w:line="300" w:lineRule="atLeast"/>
              <w:ind w:left="993" w:hanging="284"/>
              <w:jc w:val="both"/>
              <w:rPr>
                <w:rFonts w:ascii="Bookman Old Style" w:eastAsia="Times New Roman" w:hAnsi="Bookman Old Style" w:cs="Arial"/>
                <w:color w:val="222222"/>
                <w:lang w:eastAsia="en-IN"/>
              </w:rPr>
            </w:pPr>
          </w:p>
        </w:tc>
      </w:tr>
    </w:tbl>
    <w:p w:rsidR="00136F2C" w:rsidRPr="009D4F47" w:rsidRDefault="00136F2C" w:rsidP="009B028F">
      <w:pPr>
        <w:tabs>
          <w:tab w:val="left" w:pos="3350"/>
        </w:tabs>
        <w:ind w:left="993" w:hanging="284"/>
        <w:jc w:val="both"/>
        <w:rPr>
          <w:rFonts w:ascii="Bookman Old Style" w:eastAsia="Times New Roman" w:hAnsi="Bookman Old Style" w:cs="Arial"/>
          <w:color w:val="222222"/>
          <w:lang w:eastAsia="en-IN"/>
        </w:rPr>
      </w:pPr>
      <w:r w:rsidRPr="009D4F47">
        <w:rPr>
          <w:rFonts w:ascii="Bookman Old Style" w:eastAsia="Times New Roman" w:hAnsi="Bookman Old Style" w:cs="Arial"/>
          <w:color w:val="222222"/>
          <w:lang w:eastAsia="en-IN"/>
        </w:rPr>
        <w:tab/>
      </w:r>
    </w:p>
    <w:sectPr w:rsidR="00136F2C" w:rsidRPr="009D4F47" w:rsidSect="003A6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91C"/>
    <w:multiLevelType w:val="hybridMultilevel"/>
    <w:tmpl w:val="89A4D622"/>
    <w:lvl w:ilvl="0" w:tplc="5344E76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C977742"/>
    <w:multiLevelType w:val="hybridMultilevel"/>
    <w:tmpl w:val="04A80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E5BA0"/>
    <w:multiLevelType w:val="hybridMultilevel"/>
    <w:tmpl w:val="C674CA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18F15E2"/>
    <w:multiLevelType w:val="hybridMultilevel"/>
    <w:tmpl w:val="ED0EB7F2"/>
    <w:lvl w:ilvl="0" w:tplc="4009000F">
      <w:start w:val="1"/>
      <w:numFmt w:val="decimal"/>
      <w:lvlText w:val="%1."/>
      <w:lvlJc w:val="left"/>
      <w:pPr>
        <w:ind w:left="1440" w:hanging="360"/>
      </w:pPr>
    </w:lvl>
    <w:lvl w:ilvl="1" w:tplc="2CB6A956">
      <w:start w:val="1"/>
      <w:numFmt w:val="lowerLetter"/>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52F95B7D"/>
    <w:multiLevelType w:val="hybridMultilevel"/>
    <w:tmpl w:val="5B7643AA"/>
    <w:lvl w:ilvl="0" w:tplc="56A6B20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610B338B"/>
    <w:multiLevelType w:val="hybridMultilevel"/>
    <w:tmpl w:val="0DD2B79C"/>
    <w:lvl w:ilvl="0" w:tplc="C11A8F66">
      <w:start w:val="1"/>
      <w:numFmt w:val="upperLetter"/>
      <w:lvlText w:val="%1."/>
      <w:lvlJc w:val="left"/>
      <w:pPr>
        <w:ind w:left="720" w:hanging="360"/>
      </w:pPr>
      <w:rPr>
        <w:rFonts w:asciiTheme="minorHAnsi" w:eastAsiaTheme="minorHAnsi" w:hAnsiTheme="minorHAnsi" w:cstheme="minorBidi"/>
      </w:rPr>
    </w:lvl>
    <w:lvl w:ilvl="1" w:tplc="81A86C5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F2E1A39"/>
    <w:multiLevelType w:val="hybridMultilevel"/>
    <w:tmpl w:val="5F968774"/>
    <w:lvl w:ilvl="0" w:tplc="04090017">
      <w:start w:val="1"/>
      <w:numFmt w:val="lowerLetter"/>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7">
    <w:nsid w:val="7A321A02"/>
    <w:multiLevelType w:val="hybridMultilevel"/>
    <w:tmpl w:val="6636A836"/>
    <w:lvl w:ilvl="0" w:tplc="56CE7A12">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AB722AD"/>
    <w:multiLevelType w:val="hybridMultilevel"/>
    <w:tmpl w:val="AB00B4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F775C23"/>
    <w:multiLevelType w:val="hybridMultilevel"/>
    <w:tmpl w:val="58A89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9"/>
  </w:num>
  <w:num w:numId="6">
    <w:abstractNumId w:val="0"/>
  </w:num>
  <w:num w:numId="7">
    <w:abstractNumId w:val="1"/>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C34"/>
    <w:rsid w:val="00094D05"/>
    <w:rsid w:val="000A66B5"/>
    <w:rsid w:val="00136F2C"/>
    <w:rsid w:val="001476CA"/>
    <w:rsid w:val="0016731E"/>
    <w:rsid w:val="001734DE"/>
    <w:rsid w:val="00196E17"/>
    <w:rsid w:val="001A3A9F"/>
    <w:rsid w:val="002009BC"/>
    <w:rsid w:val="002179B8"/>
    <w:rsid w:val="0029529E"/>
    <w:rsid w:val="002A7B35"/>
    <w:rsid w:val="002F5AAD"/>
    <w:rsid w:val="0036551B"/>
    <w:rsid w:val="00376981"/>
    <w:rsid w:val="003A6AEF"/>
    <w:rsid w:val="004123C5"/>
    <w:rsid w:val="00476C33"/>
    <w:rsid w:val="005D3C34"/>
    <w:rsid w:val="006A4D1B"/>
    <w:rsid w:val="006D2E6C"/>
    <w:rsid w:val="00703E40"/>
    <w:rsid w:val="00713D31"/>
    <w:rsid w:val="00727DC5"/>
    <w:rsid w:val="00741790"/>
    <w:rsid w:val="00742FFB"/>
    <w:rsid w:val="00771981"/>
    <w:rsid w:val="007D6150"/>
    <w:rsid w:val="00930FA1"/>
    <w:rsid w:val="009A6161"/>
    <w:rsid w:val="009B028F"/>
    <w:rsid w:val="009D4F47"/>
    <w:rsid w:val="009E5F2D"/>
    <w:rsid w:val="00A51909"/>
    <w:rsid w:val="00A84368"/>
    <w:rsid w:val="00AB67AA"/>
    <w:rsid w:val="00B77FFE"/>
    <w:rsid w:val="00B86DA7"/>
    <w:rsid w:val="00BF5E3B"/>
    <w:rsid w:val="00BF792C"/>
    <w:rsid w:val="00C1230F"/>
    <w:rsid w:val="00C23E96"/>
    <w:rsid w:val="00C4117B"/>
    <w:rsid w:val="00C66286"/>
    <w:rsid w:val="00C738BA"/>
    <w:rsid w:val="00CA44C7"/>
    <w:rsid w:val="00CA7BBE"/>
    <w:rsid w:val="00CF616E"/>
    <w:rsid w:val="00D27DAB"/>
    <w:rsid w:val="00F214D4"/>
    <w:rsid w:val="00F8240A"/>
    <w:rsid w:val="00F978DF"/>
    <w:rsid w:val="00FC5A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6981"/>
    <w:pPr>
      <w:ind w:left="720"/>
      <w:contextualSpacing/>
    </w:pPr>
  </w:style>
  <w:style w:type="character" w:customStyle="1" w:styleId="ListParagraphChar">
    <w:name w:val="List Paragraph Char"/>
    <w:link w:val="ListParagraph"/>
    <w:uiPriority w:val="34"/>
    <w:locked/>
    <w:rsid w:val="00376981"/>
  </w:style>
  <w:style w:type="character" w:customStyle="1" w:styleId="ams">
    <w:name w:val="ams"/>
    <w:basedOn w:val="DefaultParagraphFont"/>
    <w:rsid w:val="00C73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6981"/>
    <w:pPr>
      <w:ind w:left="720"/>
      <w:contextualSpacing/>
    </w:pPr>
  </w:style>
  <w:style w:type="character" w:customStyle="1" w:styleId="ListParagraphChar">
    <w:name w:val="List Paragraph Char"/>
    <w:link w:val="ListParagraph"/>
    <w:uiPriority w:val="34"/>
    <w:locked/>
    <w:rsid w:val="00376981"/>
  </w:style>
  <w:style w:type="character" w:customStyle="1" w:styleId="ams">
    <w:name w:val="ams"/>
    <w:basedOn w:val="DefaultParagraphFont"/>
    <w:rsid w:val="00C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70501">
      <w:bodyDiv w:val="1"/>
      <w:marLeft w:val="0"/>
      <w:marRight w:val="0"/>
      <w:marTop w:val="0"/>
      <w:marBottom w:val="0"/>
      <w:divBdr>
        <w:top w:val="none" w:sz="0" w:space="0" w:color="auto"/>
        <w:left w:val="none" w:sz="0" w:space="0" w:color="auto"/>
        <w:bottom w:val="none" w:sz="0" w:space="0" w:color="auto"/>
        <w:right w:val="none" w:sz="0" w:space="0" w:color="auto"/>
      </w:divBdr>
      <w:divsChild>
        <w:div w:id="1618834994">
          <w:marLeft w:val="0"/>
          <w:marRight w:val="0"/>
          <w:marTop w:val="0"/>
          <w:marBottom w:val="0"/>
          <w:divBdr>
            <w:top w:val="none" w:sz="0" w:space="0" w:color="auto"/>
            <w:left w:val="none" w:sz="0" w:space="0" w:color="auto"/>
            <w:bottom w:val="none" w:sz="0" w:space="0" w:color="auto"/>
            <w:right w:val="none" w:sz="0" w:space="0" w:color="auto"/>
          </w:divBdr>
          <w:divsChild>
            <w:div w:id="238054533">
              <w:marLeft w:val="0"/>
              <w:marRight w:val="0"/>
              <w:marTop w:val="0"/>
              <w:marBottom w:val="0"/>
              <w:divBdr>
                <w:top w:val="none" w:sz="0" w:space="0" w:color="auto"/>
                <w:left w:val="none" w:sz="0" w:space="0" w:color="auto"/>
                <w:bottom w:val="none" w:sz="0" w:space="0" w:color="auto"/>
                <w:right w:val="none" w:sz="0" w:space="0" w:color="auto"/>
              </w:divBdr>
              <w:divsChild>
                <w:div w:id="1737240089">
                  <w:marLeft w:val="0"/>
                  <w:marRight w:val="0"/>
                  <w:marTop w:val="0"/>
                  <w:marBottom w:val="0"/>
                  <w:divBdr>
                    <w:top w:val="none" w:sz="0" w:space="0" w:color="auto"/>
                    <w:left w:val="none" w:sz="0" w:space="0" w:color="auto"/>
                    <w:bottom w:val="none" w:sz="0" w:space="0" w:color="auto"/>
                    <w:right w:val="none" w:sz="0" w:space="0" w:color="auto"/>
                  </w:divBdr>
                  <w:divsChild>
                    <w:div w:id="1168255932">
                      <w:marLeft w:val="0"/>
                      <w:marRight w:val="0"/>
                      <w:marTop w:val="120"/>
                      <w:marBottom w:val="0"/>
                      <w:divBdr>
                        <w:top w:val="none" w:sz="0" w:space="0" w:color="auto"/>
                        <w:left w:val="none" w:sz="0" w:space="0" w:color="auto"/>
                        <w:bottom w:val="none" w:sz="0" w:space="0" w:color="auto"/>
                        <w:right w:val="none" w:sz="0" w:space="0" w:color="auto"/>
                      </w:divBdr>
                      <w:divsChild>
                        <w:div w:id="2123765006">
                          <w:marLeft w:val="0"/>
                          <w:marRight w:val="0"/>
                          <w:marTop w:val="0"/>
                          <w:marBottom w:val="0"/>
                          <w:divBdr>
                            <w:top w:val="none" w:sz="0" w:space="0" w:color="auto"/>
                            <w:left w:val="none" w:sz="0" w:space="0" w:color="auto"/>
                            <w:bottom w:val="none" w:sz="0" w:space="0" w:color="auto"/>
                            <w:right w:val="none" w:sz="0" w:space="0" w:color="auto"/>
                          </w:divBdr>
                          <w:divsChild>
                            <w:div w:id="156267341">
                              <w:marLeft w:val="0"/>
                              <w:marRight w:val="0"/>
                              <w:marTop w:val="0"/>
                              <w:marBottom w:val="0"/>
                              <w:divBdr>
                                <w:top w:val="none" w:sz="0" w:space="0" w:color="auto"/>
                                <w:left w:val="none" w:sz="0" w:space="0" w:color="auto"/>
                                <w:bottom w:val="none" w:sz="0" w:space="0" w:color="auto"/>
                                <w:right w:val="none" w:sz="0" w:space="0" w:color="auto"/>
                              </w:divBdr>
                              <w:divsChild>
                                <w:div w:id="2095197568">
                                  <w:marLeft w:val="0"/>
                                  <w:marRight w:val="0"/>
                                  <w:marTop w:val="0"/>
                                  <w:marBottom w:val="0"/>
                                  <w:divBdr>
                                    <w:top w:val="none" w:sz="0" w:space="0" w:color="auto"/>
                                    <w:left w:val="none" w:sz="0" w:space="0" w:color="auto"/>
                                    <w:bottom w:val="none" w:sz="0" w:space="0" w:color="auto"/>
                                    <w:right w:val="none" w:sz="0" w:space="0" w:color="auto"/>
                                  </w:divBdr>
                                </w:div>
                                <w:div w:id="414010973">
                                  <w:marLeft w:val="0"/>
                                  <w:marRight w:val="0"/>
                                  <w:marTop w:val="0"/>
                                  <w:marBottom w:val="0"/>
                                  <w:divBdr>
                                    <w:top w:val="none" w:sz="0" w:space="0" w:color="auto"/>
                                    <w:left w:val="none" w:sz="0" w:space="0" w:color="auto"/>
                                    <w:bottom w:val="none" w:sz="0" w:space="0" w:color="auto"/>
                                    <w:right w:val="none" w:sz="0" w:space="0" w:color="auto"/>
                                  </w:divBdr>
                                </w:div>
                                <w:div w:id="1803617411">
                                  <w:marLeft w:val="0"/>
                                  <w:marRight w:val="0"/>
                                  <w:marTop w:val="0"/>
                                  <w:marBottom w:val="0"/>
                                  <w:divBdr>
                                    <w:top w:val="none" w:sz="0" w:space="0" w:color="auto"/>
                                    <w:left w:val="none" w:sz="0" w:space="0" w:color="auto"/>
                                    <w:bottom w:val="none" w:sz="0" w:space="0" w:color="auto"/>
                                    <w:right w:val="none" w:sz="0" w:space="0" w:color="auto"/>
                                  </w:divBdr>
                                </w:div>
                                <w:div w:id="338702972">
                                  <w:marLeft w:val="0"/>
                                  <w:marRight w:val="0"/>
                                  <w:marTop w:val="0"/>
                                  <w:marBottom w:val="0"/>
                                  <w:divBdr>
                                    <w:top w:val="none" w:sz="0" w:space="0" w:color="auto"/>
                                    <w:left w:val="none" w:sz="0" w:space="0" w:color="auto"/>
                                    <w:bottom w:val="none" w:sz="0" w:space="0" w:color="auto"/>
                                    <w:right w:val="none" w:sz="0" w:space="0" w:color="auto"/>
                                  </w:divBdr>
                                </w:div>
                                <w:div w:id="1339886942">
                                  <w:marLeft w:val="0"/>
                                  <w:marRight w:val="0"/>
                                  <w:marTop w:val="0"/>
                                  <w:marBottom w:val="0"/>
                                  <w:divBdr>
                                    <w:top w:val="none" w:sz="0" w:space="0" w:color="auto"/>
                                    <w:left w:val="none" w:sz="0" w:space="0" w:color="auto"/>
                                    <w:bottom w:val="none" w:sz="0" w:space="0" w:color="auto"/>
                                    <w:right w:val="none" w:sz="0" w:space="0" w:color="auto"/>
                                  </w:divBdr>
                                </w:div>
                                <w:div w:id="1449933952">
                                  <w:marLeft w:val="0"/>
                                  <w:marRight w:val="0"/>
                                  <w:marTop w:val="0"/>
                                  <w:marBottom w:val="0"/>
                                  <w:divBdr>
                                    <w:top w:val="none" w:sz="0" w:space="0" w:color="auto"/>
                                    <w:left w:val="none" w:sz="0" w:space="0" w:color="auto"/>
                                    <w:bottom w:val="none" w:sz="0" w:space="0" w:color="auto"/>
                                    <w:right w:val="none" w:sz="0" w:space="0" w:color="auto"/>
                                  </w:divBdr>
                                </w:div>
                                <w:div w:id="347372245">
                                  <w:marLeft w:val="0"/>
                                  <w:marRight w:val="0"/>
                                  <w:marTop w:val="0"/>
                                  <w:marBottom w:val="0"/>
                                  <w:divBdr>
                                    <w:top w:val="none" w:sz="0" w:space="0" w:color="auto"/>
                                    <w:left w:val="none" w:sz="0" w:space="0" w:color="auto"/>
                                    <w:bottom w:val="none" w:sz="0" w:space="0" w:color="auto"/>
                                    <w:right w:val="none" w:sz="0" w:space="0" w:color="auto"/>
                                  </w:divBdr>
                                </w:div>
                                <w:div w:id="1713000470">
                                  <w:marLeft w:val="0"/>
                                  <w:marRight w:val="0"/>
                                  <w:marTop w:val="0"/>
                                  <w:marBottom w:val="0"/>
                                  <w:divBdr>
                                    <w:top w:val="none" w:sz="0" w:space="0" w:color="auto"/>
                                    <w:left w:val="none" w:sz="0" w:space="0" w:color="auto"/>
                                    <w:bottom w:val="none" w:sz="0" w:space="0" w:color="auto"/>
                                    <w:right w:val="none" w:sz="0" w:space="0" w:color="auto"/>
                                  </w:divBdr>
                                </w:div>
                                <w:div w:id="2112117181">
                                  <w:marLeft w:val="0"/>
                                  <w:marRight w:val="0"/>
                                  <w:marTop w:val="0"/>
                                  <w:marBottom w:val="0"/>
                                  <w:divBdr>
                                    <w:top w:val="none" w:sz="0" w:space="0" w:color="auto"/>
                                    <w:left w:val="none" w:sz="0" w:space="0" w:color="auto"/>
                                    <w:bottom w:val="none" w:sz="0" w:space="0" w:color="auto"/>
                                    <w:right w:val="none" w:sz="0" w:space="0" w:color="auto"/>
                                  </w:divBdr>
                                </w:div>
                                <w:div w:id="1530878411">
                                  <w:marLeft w:val="0"/>
                                  <w:marRight w:val="0"/>
                                  <w:marTop w:val="0"/>
                                  <w:marBottom w:val="0"/>
                                  <w:divBdr>
                                    <w:top w:val="none" w:sz="0" w:space="0" w:color="auto"/>
                                    <w:left w:val="none" w:sz="0" w:space="0" w:color="auto"/>
                                    <w:bottom w:val="none" w:sz="0" w:space="0" w:color="auto"/>
                                    <w:right w:val="none" w:sz="0" w:space="0" w:color="auto"/>
                                  </w:divBdr>
                                </w:div>
                                <w:div w:id="1577593224">
                                  <w:marLeft w:val="0"/>
                                  <w:marRight w:val="0"/>
                                  <w:marTop w:val="0"/>
                                  <w:marBottom w:val="0"/>
                                  <w:divBdr>
                                    <w:top w:val="none" w:sz="0" w:space="0" w:color="auto"/>
                                    <w:left w:val="none" w:sz="0" w:space="0" w:color="auto"/>
                                    <w:bottom w:val="none" w:sz="0" w:space="0" w:color="auto"/>
                                    <w:right w:val="none" w:sz="0" w:space="0" w:color="auto"/>
                                  </w:divBdr>
                                </w:div>
                                <w:div w:id="1592008397">
                                  <w:marLeft w:val="0"/>
                                  <w:marRight w:val="0"/>
                                  <w:marTop w:val="0"/>
                                  <w:marBottom w:val="0"/>
                                  <w:divBdr>
                                    <w:top w:val="none" w:sz="0" w:space="0" w:color="auto"/>
                                    <w:left w:val="none" w:sz="0" w:space="0" w:color="auto"/>
                                    <w:bottom w:val="none" w:sz="0" w:space="0" w:color="auto"/>
                                    <w:right w:val="none" w:sz="0" w:space="0" w:color="auto"/>
                                  </w:divBdr>
                                </w:div>
                                <w:div w:id="997729614">
                                  <w:marLeft w:val="0"/>
                                  <w:marRight w:val="0"/>
                                  <w:marTop w:val="0"/>
                                  <w:marBottom w:val="0"/>
                                  <w:divBdr>
                                    <w:top w:val="none" w:sz="0" w:space="0" w:color="auto"/>
                                    <w:left w:val="none" w:sz="0" w:space="0" w:color="auto"/>
                                    <w:bottom w:val="none" w:sz="0" w:space="0" w:color="auto"/>
                                    <w:right w:val="none" w:sz="0" w:space="0" w:color="auto"/>
                                  </w:divBdr>
                                </w:div>
                                <w:div w:id="1104962002">
                                  <w:marLeft w:val="0"/>
                                  <w:marRight w:val="0"/>
                                  <w:marTop w:val="0"/>
                                  <w:marBottom w:val="0"/>
                                  <w:divBdr>
                                    <w:top w:val="none" w:sz="0" w:space="0" w:color="auto"/>
                                    <w:left w:val="none" w:sz="0" w:space="0" w:color="auto"/>
                                    <w:bottom w:val="none" w:sz="0" w:space="0" w:color="auto"/>
                                    <w:right w:val="none" w:sz="0" w:space="0" w:color="auto"/>
                                  </w:divBdr>
                                </w:div>
                                <w:div w:id="16700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577161">
          <w:marLeft w:val="0"/>
          <w:marRight w:val="0"/>
          <w:marTop w:val="0"/>
          <w:marBottom w:val="0"/>
          <w:divBdr>
            <w:top w:val="none" w:sz="0" w:space="0" w:color="auto"/>
            <w:left w:val="none" w:sz="0" w:space="0" w:color="auto"/>
            <w:bottom w:val="none" w:sz="0" w:space="0" w:color="auto"/>
            <w:right w:val="none" w:sz="0" w:space="0" w:color="auto"/>
          </w:divBdr>
          <w:divsChild>
            <w:div w:id="1740597627">
              <w:marLeft w:val="0"/>
              <w:marRight w:val="0"/>
              <w:marTop w:val="0"/>
              <w:marBottom w:val="0"/>
              <w:divBdr>
                <w:top w:val="none" w:sz="0" w:space="0" w:color="auto"/>
                <w:left w:val="none" w:sz="0" w:space="0" w:color="auto"/>
                <w:bottom w:val="none" w:sz="0" w:space="0" w:color="auto"/>
                <w:right w:val="none" w:sz="0" w:space="0" w:color="auto"/>
              </w:divBdr>
              <w:divsChild>
                <w:div w:id="1442728327">
                  <w:marLeft w:val="0"/>
                  <w:marRight w:val="0"/>
                  <w:marTop w:val="0"/>
                  <w:marBottom w:val="0"/>
                  <w:divBdr>
                    <w:top w:val="none" w:sz="0" w:space="0" w:color="auto"/>
                    <w:left w:val="none" w:sz="0" w:space="0" w:color="auto"/>
                    <w:bottom w:val="none" w:sz="0" w:space="0" w:color="auto"/>
                    <w:right w:val="none" w:sz="0" w:space="0" w:color="auto"/>
                  </w:divBdr>
                  <w:divsChild>
                    <w:div w:id="875779350">
                      <w:marLeft w:val="0"/>
                      <w:marRight w:val="0"/>
                      <w:marTop w:val="0"/>
                      <w:marBottom w:val="0"/>
                      <w:divBdr>
                        <w:top w:val="none" w:sz="0" w:space="0" w:color="auto"/>
                        <w:left w:val="none" w:sz="0" w:space="0" w:color="auto"/>
                        <w:bottom w:val="none" w:sz="0" w:space="0" w:color="auto"/>
                        <w:right w:val="none" w:sz="0" w:space="0" w:color="auto"/>
                      </w:divBdr>
                      <w:divsChild>
                        <w:div w:id="1509178665">
                          <w:marLeft w:val="0"/>
                          <w:marRight w:val="0"/>
                          <w:marTop w:val="0"/>
                          <w:marBottom w:val="0"/>
                          <w:divBdr>
                            <w:top w:val="none" w:sz="0" w:space="0" w:color="auto"/>
                            <w:left w:val="none" w:sz="0" w:space="0" w:color="auto"/>
                            <w:bottom w:val="none" w:sz="0" w:space="0" w:color="auto"/>
                            <w:right w:val="none" w:sz="0" w:space="0" w:color="auto"/>
                          </w:divBdr>
                          <w:divsChild>
                            <w:div w:id="4383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 Lal</dc:creator>
  <cp:lastModifiedBy>G Dave</cp:lastModifiedBy>
  <cp:revision>8</cp:revision>
  <dcterms:created xsi:type="dcterms:W3CDTF">2021-10-02T07:39:00Z</dcterms:created>
  <dcterms:modified xsi:type="dcterms:W3CDTF">2021-10-02T10:39:00Z</dcterms:modified>
</cp:coreProperties>
</file>