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C34" w:rsidRPr="001A3A9F" w:rsidRDefault="00376981" w:rsidP="00CF616E">
      <w:pPr>
        <w:pStyle w:val="ListParagraph"/>
        <w:numPr>
          <w:ilvl w:val="0"/>
          <w:numId w:val="3"/>
        </w:numPr>
        <w:ind w:left="426" w:hanging="426"/>
        <w:jc w:val="both"/>
        <w:rPr>
          <w:rFonts w:ascii="Bookman Old Style" w:hAnsi="Bookman Old Style"/>
          <w:b/>
          <w:bCs/>
        </w:rPr>
      </w:pPr>
      <w:r w:rsidRPr="001A3A9F">
        <w:rPr>
          <w:rFonts w:ascii="Bookman Old Style" w:hAnsi="Bookman Old Style"/>
          <w:b/>
          <w:bCs/>
        </w:rPr>
        <w:t xml:space="preserve">STATEMENT OF </w:t>
      </w:r>
      <w:r w:rsidR="00741790" w:rsidRPr="001A3A9F">
        <w:rPr>
          <w:rFonts w:ascii="Bookman Old Style" w:hAnsi="Bookman Old Style"/>
          <w:b/>
          <w:bCs/>
        </w:rPr>
        <w:t xml:space="preserve">THREE </w:t>
      </w:r>
      <w:r w:rsidRPr="001A3A9F">
        <w:rPr>
          <w:rFonts w:ascii="Bookman Old Style" w:hAnsi="Bookman Old Style"/>
          <w:b/>
          <w:bCs/>
        </w:rPr>
        <w:t xml:space="preserve">CHARGES </w:t>
      </w:r>
      <w:r w:rsidR="00CF616E">
        <w:rPr>
          <w:rFonts w:ascii="Bookman Old Style" w:hAnsi="Bookman Old Style"/>
          <w:b/>
          <w:bCs/>
        </w:rPr>
        <w:t>LEVELLED</w:t>
      </w:r>
      <w:r w:rsidR="001734DE">
        <w:rPr>
          <w:rFonts w:ascii="Bookman Old Style" w:hAnsi="Bookman Old Style"/>
          <w:b/>
          <w:bCs/>
        </w:rPr>
        <w:t xml:space="preserve"> </w:t>
      </w:r>
      <w:r w:rsidR="001A3A9F" w:rsidRPr="001A3A9F">
        <w:rPr>
          <w:rFonts w:ascii="Bookman Old Style" w:hAnsi="Bookman Old Style"/>
          <w:b/>
          <w:bCs/>
        </w:rPr>
        <w:t xml:space="preserve">VIDE MEMO DATED 01.03.2021 </w:t>
      </w:r>
      <w:r w:rsidRPr="001A3A9F">
        <w:rPr>
          <w:rFonts w:ascii="Bookman Old Style" w:hAnsi="Bookman Old Style"/>
          <w:b/>
          <w:bCs/>
        </w:rPr>
        <w:t>ARE AS UN</w:t>
      </w:r>
      <w:r w:rsidR="00D27DAB">
        <w:rPr>
          <w:rFonts w:ascii="Bookman Old Style" w:hAnsi="Bookman Old Style"/>
          <w:b/>
          <w:bCs/>
        </w:rPr>
        <w:t>DE</w:t>
      </w:r>
      <w:r w:rsidRPr="001A3A9F">
        <w:rPr>
          <w:rFonts w:ascii="Bookman Old Style" w:hAnsi="Bookman Old Style"/>
          <w:b/>
          <w:bCs/>
        </w:rPr>
        <w:t>R:</w:t>
      </w:r>
    </w:p>
    <w:p w:rsidR="00741790" w:rsidRPr="00741790" w:rsidRDefault="00741790" w:rsidP="00741790">
      <w:pPr>
        <w:pStyle w:val="ListParagraph"/>
        <w:ind w:left="426"/>
        <w:rPr>
          <w:b/>
          <w:bCs/>
        </w:rPr>
      </w:pPr>
    </w:p>
    <w:p w:rsidR="00376981" w:rsidRPr="00A84368" w:rsidRDefault="00376981" w:rsidP="00A84368">
      <w:pPr>
        <w:pStyle w:val="ListParagraph"/>
        <w:numPr>
          <w:ilvl w:val="0"/>
          <w:numId w:val="8"/>
        </w:numPr>
        <w:autoSpaceDE w:val="0"/>
        <w:autoSpaceDN w:val="0"/>
        <w:spacing w:after="0" w:line="276" w:lineRule="auto"/>
        <w:jc w:val="both"/>
        <w:rPr>
          <w:rFonts w:ascii="Bookman Old Style" w:hAnsi="Bookman Old Style"/>
        </w:rPr>
      </w:pPr>
      <w:r w:rsidRPr="00A84368">
        <w:rPr>
          <w:rFonts w:ascii="Bookman Old Style" w:hAnsi="Bookman Old Style"/>
        </w:rPr>
        <w:t xml:space="preserve">It is </w:t>
      </w:r>
      <w:r w:rsidR="00BF792C" w:rsidRPr="00A84368">
        <w:rPr>
          <w:rFonts w:ascii="Bookman Old Style" w:hAnsi="Bookman Old Style"/>
        </w:rPr>
        <w:t xml:space="preserve">stated </w:t>
      </w:r>
      <w:r w:rsidRPr="00A84368">
        <w:rPr>
          <w:rFonts w:ascii="Bookman Old Style" w:hAnsi="Bookman Old Style"/>
        </w:rPr>
        <w:t>that no deviation meeting was held on the following two issues despite the fact that findings/conclusions drawn in the Appraisal Report were conclusive.</w:t>
      </w:r>
    </w:p>
    <w:p w:rsidR="00376981" w:rsidRDefault="00376981" w:rsidP="00A84368">
      <w:pPr>
        <w:pStyle w:val="ListParagraph"/>
        <w:spacing w:line="276" w:lineRule="auto"/>
      </w:pPr>
    </w:p>
    <w:p w:rsidR="002F5AAD" w:rsidRDefault="002F5AAD" w:rsidP="00A84368">
      <w:pPr>
        <w:pStyle w:val="ListParagraph"/>
        <w:numPr>
          <w:ilvl w:val="0"/>
          <w:numId w:val="2"/>
        </w:numPr>
        <w:autoSpaceDE w:val="0"/>
        <w:autoSpaceDN w:val="0"/>
        <w:spacing w:after="0" w:line="276" w:lineRule="auto"/>
        <w:ind w:left="709" w:firstLine="0"/>
        <w:jc w:val="both"/>
        <w:rPr>
          <w:rFonts w:ascii="Bookman Old Style" w:hAnsi="Bookman Old Style"/>
        </w:rPr>
      </w:pPr>
      <w:r w:rsidRPr="002F5AAD">
        <w:rPr>
          <w:rFonts w:ascii="Bookman Old Style" w:hAnsi="Bookman Old Style"/>
        </w:rPr>
        <w:t xml:space="preserve">During search action evidence of Share Application Money of Rs. 45.00 Crore </w:t>
      </w:r>
      <w:r w:rsidR="00703E40">
        <w:rPr>
          <w:rFonts w:ascii="Bookman Old Style" w:hAnsi="Bookman Old Style"/>
        </w:rPr>
        <w:t xml:space="preserve">received by M/s </w:t>
      </w:r>
      <w:r w:rsidR="001A3A9F">
        <w:rPr>
          <w:rFonts w:ascii="Bookman Old Style" w:hAnsi="Bookman Old Style"/>
        </w:rPr>
        <w:t>S</w:t>
      </w:r>
      <w:r w:rsidR="00703E40">
        <w:rPr>
          <w:rFonts w:ascii="Bookman Old Style" w:hAnsi="Bookman Old Style"/>
        </w:rPr>
        <w:t xml:space="preserve">terling Biotech Ltd </w:t>
      </w:r>
      <w:r w:rsidRPr="002F5AAD">
        <w:rPr>
          <w:rFonts w:ascii="Bookman Old Style" w:hAnsi="Bookman Old Style"/>
        </w:rPr>
        <w:t>was found &amp;</w:t>
      </w:r>
      <w:r w:rsidR="001734DE">
        <w:rPr>
          <w:rFonts w:ascii="Bookman Old Style" w:hAnsi="Bookman Old Style"/>
        </w:rPr>
        <w:t xml:space="preserve"> </w:t>
      </w:r>
      <w:r w:rsidR="00136F2C" w:rsidRPr="002F5AAD">
        <w:rPr>
          <w:rFonts w:ascii="Bookman Old Style" w:hAnsi="Bookman Old Style"/>
        </w:rPr>
        <w:t>seized</w:t>
      </w:r>
      <w:r w:rsidRPr="002F5AAD">
        <w:rPr>
          <w:rFonts w:ascii="Bookman Old Style" w:hAnsi="Bookman Old Style"/>
        </w:rPr>
        <w:t xml:space="preserve"> and no addition was made by AO on the issue which was in clear deviation of indication given in the Appraisal Report that these amounts were to be added. No deviation meeting was held </w:t>
      </w:r>
      <w:r>
        <w:rPr>
          <w:rFonts w:ascii="Bookman Old Style" w:hAnsi="Bookman Old Style"/>
        </w:rPr>
        <w:t xml:space="preserve">by the AO </w:t>
      </w:r>
      <w:r w:rsidRPr="002F5AAD">
        <w:rPr>
          <w:rFonts w:ascii="Bookman Old Style" w:hAnsi="Bookman Old Style"/>
        </w:rPr>
        <w:t xml:space="preserve">on this issue despite the fact that findings/conclusions drawn in the Appraisal Report </w:t>
      </w:r>
      <w:r w:rsidR="00136F2C" w:rsidRPr="002F5AAD">
        <w:rPr>
          <w:rFonts w:ascii="Bookman Old Style" w:hAnsi="Bookman Old Style"/>
        </w:rPr>
        <w:t>were conclusive</w:t>
      </w:r>
      <w:r w:rsidRPr="002F5AAD">
        <w:rPr>
          <w:rFonts w:ascii="Bookman Old Style" w:hAnsi="Bookman Old Style"/>
        </w:rPr>
        <w:t>.</w:t>
      </w:r>
    </w:p>
    <w:p w:rsidR="00136F2C" w:rsidRDefault="00136F2C" w:rsidP="00A84368">
      <w:pPr>
        <w:pStyle w:val="ListParagraph"/>
        <w:autoSpaceDE w:val="0"/>
        <w:autoSpaceDN w:val="0"/>
        <w:spacing w:after="0" w:line="276" w:lineRule="auto"/>
        <w:ind w:left="709"/>
        <w:jc w:val="both"/>
        <w:rPr>
          <w:rFonts w:ascii="Bookman Old Style" w:hAnsi="Bookman Old Style"/>
        </w:rPr>
      </w:pPr>
    </w:p>
    <w:p w:rsidR="00136F2C" w:rsidRDefault="00136F2C" w:rsidP="00A84368">
      <w:pPr>
        <w:pStyle w:val="ListParagraph"/>
        <w:numPr>
          <w:ilvl w:val="0"/>
          <w:numId w:val="2"/>
        </w:numPr>
        <w:autoSpaceDE w:val="0"/>
        <w:autoSpaceDN w:val="0"/>
        <w:spacing w:after="0" w:line="276" w:lineRule="auto"/>
        <w:ind w:left="709" w:firstLine="0"/>
        <w:jc w:val="both"/>
        <w:rPr>
          <w:rFonts w:ascii="Bookman Old Style" w:hAnsi="Bookman Old Style"/>
        </w:rPr>
      </w:pPr>
      <w:r w:rsidRPr="002F5AAD">
        <w:rPr>
          <w:rFonts w:ascii="Bookman Old Style" w:hAnsi="Bookman Old Style"/>
        </w:rPr>
        <w:t xml:space="preserve">During search action evidence of </w:t>
      </w:r>
      <w:r>
        <w:rPr>
          <w:rFonts w:ascii="Bookman Old Style" w:hAnsi="Bookman Old Style"/>
        </w:rPr>
        <w:t>deduction claimed u/s 10B</w:t>
      </w:r>
      <w:r w:rsidRPr="002F5AAD">
        <w:rPr>
          <w:rFonts w:ascii="Bookman Old Style" w:hAnsi="Bookman Old Style"/>
        </w:rPr>
        <w:t xml:space="preserve"> was found and no addition was made by AO on the issue which was in clear deviation of indication given in the Appraisal Report that these amounts were to be added. No deviation meeting was held </w:t>
      </w:r>
      <w:r>
        <w:rPr>
          <w:rFonts w:ascii="Bookman Old Style" w:hAnsi="Bookman Old Style"/>
        </w:rPr>
        <w:t xml:space="preserve">by the AO </w:t>
      </w:r>
      <w:r w:rsidRPr="002F5AAD">
        <w:rPr>
          <w:rFonts w:ascii="Bookman Old Style" w:hAnsi="Bookman Old Style"/>
        </w:rPr>
        <w:t>on this issue despite the fact that findings/conclusions drawn in the Appraisal Report were conclusive.</w:t>
      </w:r>
    </w:p>
    <w:p w:rsidR="00A84368" w:rsidRPr="00A84368" w:rsidRDefault="00A84368" w:rsidP="00A84368">
      <w:pPr>
        <w:pStyle w:val="ListParagraph"/>
        <w:spacing w:line="276" w:lineRule="auto"/>
        <w:rPr>
          <w:rFonts w:ascii="Bookman Old Style" w:hAnsi="Bookman Old Style"/>
        </w:rPr>
      </w:pPr>
    </w:p>
    <w:p w:rsidR="00C1230F" w:rsidRDefault="00C1230F" w:rsidP="00A84368">
      <w:pPr>
        <w:pStyle w:val="ListParagraph"/>
        <w:numPr>
          <w:ilvl w:val="0"/>
          <w:numId w:val="8"/>
        </w:numPr>
        <w:autoSpaceDE w:val="0"/>
        <w:autoSpaceDN w:val="0"/>
        <w:spacing w:after="0" w:line="276" w:lineRule="auto"/>
        <w:jc w:val="both"/>
        <w:rPr>
          <w:rFonts w:ascii="Bookman Old Style" w:hAnsi="Bookman Old Style"/>
        </w:rPr>
      </w:pPr>
      <w:r w:rsidRPr="00CA44C7">
        <w:rPr>
          <w:rFonts w:ascii="Bookman Old Style" w:hAnsi="Bookman Old Style"/>
        </w:rPr>
        <w:t xml:space="preserve">It is </w:t>
      </w:r>
      <w:r w:rsidR="00BF792C">
        <w:rPr>
          <w:rFonts w:ascii="Bookman Old Style" w:hAnsi="Bookman Old Style"/>
        </w:rPr>
        <w:t xml:space="preserve">stated </w:t>
      </w:r>
      <w:r w:rsidRPr="00CA44C7">
        <w:rPr>
          <w:rFonts w:ascii="Bookman Old Style" w:hAnsi="Bookman Old Style"/>
        </w:rPr>
        <w:t xml:space="preserve">that cash received by Sterling Biotech Group </w:t>
      </w:r>
      <w:r w:rsidR="00CA44C7" w:rsidRPr="00CA44C7">
        <w:rPr>
          <w:rFonts w:ascii="Bookman Old Style" w:hAnsi="Bookman Old Style"/>
        </w:rPr>
        <w:t xml:space="preserve">(as contained in various seized/impounded material like from various premises by party 11 and party 17 like seized Annexure A-7 etc.) has been </w:t>
      </w:r>
      <w:r w:rsidRPr="00CA44C7">
        <w:rPr>
          <w:rFonts w:ascii="Bookman Old Style" w:hAnsi="Bookman Old Style"/>
        </w:rPr>
        <w:t>Telescop</w:t>
      </w:r>
      <w:r w:rsidR="00CA44C7" w:rsidRPr="00CA44C7">
        <w:rPr>
          <w:rFonts w:ascii="Bookman Old Style" w:hAnsi="Bookman Old Style"/>
        </w:rPr>
        <w:t xml:space="preserve">ed with cash generated through unaccounted cash sales of DCP, which is </w:t>
      </w:r>
      <w:r w:rsidRPr="00CA44C7">
        <w:rPr>
          <w:rFonts w:ascii="Bookman Old Style" w:hAnsi="Bookman Old Style"/>
        </w:rPr>
        <w:t>not in conformity with the facts of the case.</w:t>
      </w:r>
      <w:r w:rsidR="00CA44C7" w:rsidRPr="00CA44C7">
        <w:rPr>
          <w:rFonts w:ascii="Bookman Old Style" w:hAnsi="Bookman Old Style"/>
        </w:rPr>
        <w:t xml:space="preserve"> The </w:t>
      </w:r>
      <w:r w:rsidRPr="00CA44C7">
        <w:rPr>
          <w:rFonts w:ascii="Bookman Old Style" w:hAnsi="Bookman Old Style"/>
        </w:rPr>
        <w:t>Annexure A-7, which is the relevant document is not enquired into; and Certain entities included in Annexure A-7 were not ordinary trading partners of the Sterling Biotech Group.</w:t>
      </w:r>
    </w:p>
    <w:p w:rsidR="00CA44C7" w:rsidRPr="00CA44C7" w:rsidRDefault="00CA44C7" w:rsidP="00A84368">
      <w:pPr>
        <w:pStyle w:val="ListParagraph"/>
        <w:autoSpaceDE w:val="0"/>
        <w:autoSpaceDN w:val="0"/>
        <w:spacing w:after="0" w:line="276" w:lineRule="auto"/>
        <w:jc w:val="both"/>
        <w:rPr>
          <w:rFonts w:ascii="Bookman Old Style" w:hAnsi="Bookman Old Style"/>
        </w:rPr>
      </w:pPr>
    </w:p>
    <w:p w:rsidR="00BF792C" w:rsidRDefault="00BF792C" w:rsidP="00A84368">
      <w:pPr>
        <w:pStyle w:val="ListParagraph"/>
        <w:numPr>
          <w:ilvl w:val="0"/>
          <w:numId w:val="8"/>
        </w:numPr>
        <w:tabs>
          <w:tab w:val="left" w:pos="0"/>
        </w:tabs>
        <w:autoSpaceDE w:val="0"/>
        <w:autoSpaceDN w:val="0"/>
        <w:spacing w:after="0" w:line="276" w:lineRule="auto"/>
        <w:jc w:val="both"/>
        <w:rPr>
          <w:rFonts w:ascii="Bookman Old Style" w:hAnsi="Bookman Old Style"/>
          <w:bCs/>
        </w:rPr>
      </w:pPr>
      <w:r w:rsidRPr="005228C4">
        <w:rPr>
          <w:rFonts w:ascii="Bookman Old Style" w:hAnsi="Bookman Old Style"/>
          <w:bCs/>
        </w:rPr>
        <w:t xml:space="preserve">It is stated that the </w:t>
      </w:r>
      <w:r>
        <w:rPr>
          <w:rFonts w:ascii="Bookman Old Style" w:hAnsi="Bookman Old Style"/>
          <w:bCs/>
        </w:rPr>
        <w:t>AO</w:t>
      </w:r>
      <w:r w:rsidRPr="005228C4">
        <w:rPr>
          <w:rFonts w:ascii="Bookman Old Style" w:hAnsi="Bookman Old Style"/>
          <w:bCs/>
        </w:rPr>
        <w:t xml:space="preserve"> did not analyze all the seized/impounded data, including data contained in the seized/impounded computer back up as a result of which the potential revenue gain remained unascertained. </w:t>
      </w:r>
    </w:p>
    <w:p w:rsidR="00C1230F" w:rsidRPr="00C1230F" w:rsidRDefault="00C1230F" w:rsidP="00BF792C">
      <w:pPr>
        <w:pStyle w:val="ListParagraph"/>
        <w:autoSpaceDE w:val="0"/>
        <w:autoSpaceDN w:val="0"/>
        <w:spacing w:after="0" w:line="240" w:lineRule="auto"/>
        <w:jc w:val="both"/>
        <w:rPr>
          <w:rFonts w:ascii="Bookman Old Style" w:hAnsi="Bookman Old Style"/>
        </w:rPr>
      </w:pPr>
    </w:p>
    <w:p w:rsidR="00136F2C" w:rsidRDefault="00136F2C" w:rsidP="00136F2C">
      <w:pPr>
        <w:pStyle w:val="ListParagraph"/>
        <w:autoSpaceDE w:val="0"/>
        <w:autoSpaceDN w:val="0"/>
        <w:spacing w:after="0" w:line="240" w:lineRule="auto"/>
        <w:ind w:left="709"/>
        <w:jc w:val="both"/>
        <w:rPr>
          <w:rFonts w:ascii="Bookman Old Style" w:hAnsi="Bookman Old Style"/>
        </w:rPr>
      </w:pPr>
    </w:p>
    <w:p w:rsidR="001734DE" w:rsidRDefault="001734DE" w:rsidP="00136F2C">
      <w:pPr>
        <w:pStyle w:val="ListParagraph"/>
        <w:autoSpaceDE w:val="0"/>
        <w:autoSpaceDN w:val="0"/>
        <w:spacing w:after="0" w:line="240" w:lineRule="auto"/>
        <w:ind w:left="709"/>
        <w:jc w:val="both"/>
        <w:rPr>
          <w:rFonts w:ascii="Bookman Old Style" w:hAnsi="Bookman Old Style"/>
        </w:rPr>
      </w:pPr>
    </w:p>
    <w:p w:rsidR="001734DE" w:rsidRDefault="001734DE" w:rsidP="00136F2C">
      <w:pPr>
        <w:pStyle w:val="ListParagraph"/>
        <w:autoSpaceDE w:val="0"/>
        <w:autoSpaceDN w:val="0"/>
        <w:spacing w:after="0" w:line="240" w:lineRule="auto"/>
        <w:ind w:left="709"/>
        <w:jc w:val="both"/>
        <w:rPr>
          <w:rFonts w:ascii="Bookman Old Style" w:hAnsi="Bookman Old Style"/>
        </w:rPr>
      </w:pPr>
    </w:p>
    <w:p w:rsidR="00136F2C" w:rsidRPr="001A3A9F" w:rsidRDefault="001A3A9F" w:rsidP="001A3A9F">
      <w:pPr>
        <w:pStyle w:val="ListParagraph"/>
        <w:numPr>
          <w:ilvl w:val="0"/>
          <w:numId w:val="3"/>
        </w:numPr>
        <w:ind w:left="426" w:hanging="426"/>
        <w:rPr>
          <w:rFonts w:ascii="Bookman Old Style" w:hAnsi="Bookman Old Style"/>
          <w:b/>
          <w:bCs/>
        </w:rPr>
      </w:pPr>
      <w:r w:rsidRPr="001A3A9F">
        <w:rPr>
          <w:rFonts w:ascii="Bookman Old Style" w:hAnsi="Bookman Old Style"/>
          <w:b/>
          <w:bCs/>
        </w:rPr>
        <w:t>STATEMENT OF DEFENCE: -</w:t>
      </w:r>
    </w:p>
    <w:p w:rsidR="00136F2C" w:rsidRDefault="001A3A9F" w:rsidP="001A3A9F">
      <w:pPr>
        <w:ind w:left="720"/>
        <w:jc w:val="both"/>
        <w:rPr>
          <w:rFonts w:ascii="Bookman Old Style" w:hAnsi="Bookman Old Style"/>
        </w:rPr>
      </w:pPr>
      <w:r>
        <w:rPr>
          <w:rFonts w:ascii="Bookman Old Style" w:hAnsi="Bookman Old Style"/>
        </w:rPr>
        <w:t>Detailed reply to above mentioned 3 Articles of Charges is given vide statement of defence dated 29.03.2021. Copy is attached. All the charges levelled have been denied and prayed to be vacated in view of detailed reply given.</w:t>
      </w:r>
    </w:p>
    <w:p w:rsidR="001A3A9F" w:rsidRDefault="001A3A9F" w:rsidP="001A3A9F">
      <w:pPr>
        <w:spacing w:after="0"/>
        <w:ind w:left="720"/>
        <w:jc w:val="both"/>
        <w:rPr>
          <w:rFonts w:ascii="Bookman Old Style" w:hAnsi="Bookman Old Style"/>
        </w:rPr>
      </w:pPr>
    </w:p>
    <w:p w:rsidR="001734DE" w:rsidRDefault="001734DE" w:rsidP="001A3A9F">
      <w:pPr>
        <w:spacing w:after="0"/>
        <w:ind w:left="720"/>
        <w:jc w:val="both"/>
        <w:rPr>
          <w:rFonts w:ascii="Bookman Old Style" w:hAnsi="Bookman Old Style"/>
        </w:rPr>
      </w:pPr>
    </w:p>
    <w:p w:rsidR="001734DE" w:rsidRDefault="001734DE" w:rsidP="001A3A9F">
      <w:pPr>
        <w:spacing w:after="0"/>
        <w:ind w:left="720"/>
        <w:jc w:val="both"/>
        <w:rPr>
          <w:rFonts w:ascii="Bookman Old Style" w:hAnsi="Bookman Old Style"/>
        </w:rPr>
      </w:pPr>
    </w:p>
    <w:p w:rsidR="001734DE" w:rsidRDefault="001734DE" w:rsidP="001A3A9F">
      <w:pPr>
        <w:spacing w:after="0"/>
        <w:ind w:left="720"/>
        <w:jc w:val="both"/>
        <w:rPr>
          <w:rFonts w:ascii="Bookman Old Style" w:hAnsi="Bookman Old Style"/>
        </w:rPr>
      </w:pPr>
    </w:p>
    <w:p w:rsidR="001A3A9F" w:rsidRDefault="001A3A9F" w:rsidP="001A3A9F">
      <w:pPr>
        <w:pStyle w:val="ListParagraph"/>
        <w:numPr>
          <w:ilvl w:val="0"/>
          <w:numId w:val="3"/>
        </w:numPr>
        <w:ind w:left="284" w:hanging="284"/>
        <w:jc w:val="both"/>
        <w:rPr>
          <w:rFonts w:ascii="Bookman Old Style" w:hAnsi="Bookman Old Style"/>
          <w:b/>
          <w:bCs/>
        </w:rPr>
      </w:pPr>
      <w:r w:rsidRPr="001A3A9F">
        <w:rPr>
          <w:rFonts w:ascii="Bookman Old Style" w:hAnsi="Bookman Old Style"/>
          <w:b/>
          <w:bCs/>
        </w:rPr>
        <w:lastRenderedPageBreak/>
        <w:t>POINTS FOR CONSIDERATION OF STAY PETITION TO BE FILED.</w:t>
      </w:r>
    </w:p>
    <w:p w:rsidR="00C738BA" w:rsidRPr="001A3A9F" w:rsidRDefault="00C738BA" w:rsidP="00C738BA">
      <w:pPr>
        <w:pStyle w:val="ListParagraph"/>
        <w:ind w:left="284"/>
        <w:jc w:val="both"/>
        <w:rPr>
          <w:rFonts w:ascii="Bookman Old Style" w:hAnsi="Bookman Old Style"/>
          <w:b/>
          <w:bCs/>
        </w:rPr>
      </w:pPr>
    </w:p>
    <w:p w:rsidR="00C738BA" w:rsidRPr="00A51909" w:rsidRDefault="00C738BA" w:rsidP="00313140">
      <w:pPr>
        <w:pStyle w:val="ListParagraph"/>
        <w:numPr>
          <w:ilvl w:val="0"/>
          <w:numId w:val="9"/>
        </w:numPr>
        <w:shd w:val="clear" w:color="auto" w:fill="FFFFFF"/>
        <w:spacing w:before="120" w:after="0" w:line="276" w:lineRule="auto"/>
        <w:ind w:left="993" w:hanging="426"/>
        <w:jc w:val="both"/>
        <w:rPr>
          <w:rFonts w:ascii="Bookman Old Style" w:hAnsi="Bookman Old Style"/>
        </w:rPr>
      </w:pPr>
      <w:r w:rsidRPr="00A51909">
        <w:rPr>
          <w:rFonts w:ascii="Bookman Old Style" w:hAnsi="Bookman Old Style"/>
        </w:rPr>
        <w:t xml:space="preserve">Charge Sheet given </w:t>
      </w:r>
      <w:r w:rsidR="009B028F" w:rsidRPr="00A51909">
        <w:rPr>
          <w:rFonts w:ascii="Bookman Old Style" w:hAnsi="Bookman Old Style"/>
        </w:rPr>
        <w:t>is relating to</w:t>
      </w:r>
      <w:r w:rsidRPr="00A51909">
        <w:rPr>
          <w:rFonts w:ascii="Bookman Old Style" w:hAnsi="Bookman Old Style"/>
        </w:rPr>
        <w:t xml:space="preserve"> charges which are more than </w:t>
      </w:r>
      <w:r w:rsidRPr="001734DE">
        <w:rPr>
          <w:rFonts w:ascii="Bookman Old Style" w:hAnsi="Bookman Old Style"/>
          <w:b/>
        </w:rPr>
        <w:t>7 years old.</w:t>
      </w:r>
      <w:r w:rsidR="00A51909" w:rsidRPr="00A51909">
        <w:rPr>
          <w:rFonts w:ascii="Bookman Old Style" w:hAnsi="Bookman Old Style"/>
        </w:rPr>
        <w:t xml:space="preserve"> Further, </w:t>
      </w:r>
      <w:r w:rsidR="00A51909" w:rsidRPr="00A51909">
        <w:rPr>
          <w:rFonts w:ascii="Bookman Old Style" w:eastAsia="Times New Roman" w:hAnsi="Bookman Old Style" w:cs="Arial"/>
          <w:color w:val="222222"/>
          <w:lang w:eastAsia="en-IN"/>
        </w:rPr>
        <w:t>Statement of Defence given in respect of Articles of Charges vide reply submitted on 29.03.2021 where in request has been made for vacation of all the charges has not been replied with</w:t>
      </w:r>
      <w:r w:rsidR="001734DE">
        <w:rPr>
          <w:rFonts w:ascii="Bookman Old Style" w:eastAsia="Times New Roman" w:hAnsi="Bookman Old Style" w:cs="Arial"/>
          <w:color w:val="222222"/>
          <w:lang w:eastAsia="en-IN"/>
        </w:rPr>
        <w:t xml:space="preserve"> or</w:t>
      </w:r>
      <w:r w:rsidR="00A51909" w:rsidRPr="00A51909">
        <w:rPr>
          <w:rFonts w:ascii="Bookman Old Style" w:eastAsia="Times New Roman" w:hAnsi="Bookman Old Style" w:cs="Arial"/>
          <w:color w:val="222222"/>
          <w:lang w:eastAsia="en-IN"/>
        </w:rPr>
        <w:t xml:space="preserve"> taken into consideration till date and no IO has been appointed till </w:t>
      </w:r>
      <w:proofErr w:type="spellStart"/>
      <w:r w:rsidR="00A51909" w:rsidRPr="00A51909">
        <w:rPr>
          <w:rFonts w:ascii="Bookman Old Style" w:eastAsia="Times New Roman" w:hAnsi="Bookman Old Style" w:cs="Arial"/>
          <w:color w:val="222222"/>
          <w:lang w:eastAsia="en-IN"/>
        </w:rPr>
        <w:t>date.Therefore</w:t>
      </w:r>
      <w:proofErr w:type="spellEnd"/>
      <w:r w:rsidR="00A51909" w:rsidRPr="00A51909">
        <w:rPr>
          <w:rFonts w:ascii="Bookman Old Style" w:eastAsia="Times New Roman" w:hAnsi="Bookman Old Style" w:cs="Arial"/>
          <w:color w:val="222222"/>
          <w:lang w:eastAsia="en-IN"/>
        </w:rPr>
        <w:t xml:space="preserve">, </w:t>
      </w:r>
      <w:r w:rsidR="001734DE">
        <w:rPr>
          <w:rFonts w:ascii="Bookman Old Style" w:eastAsia="Times New Roman" w:hAnsi="Bookman Old Style" w:cs="Arial"/>
          <w:color w:val="222222"/>
          <w:lang w:eastAsia="en-IN"/>
        </w:rPr>
        <w:t>t</w:t>
      </w:r>
      <w:r w:rsidR="00A51909" w:rsidRPr="00A51909">
        <w:rPr>
          <w:rFonts w:ascii="Bookman Old Style" w:hAnsi="Bookman Old Style"/>
        </w:rPr>
        <w:t xml:space="preserve">he proceedings need to be quashed in view of the decisions of Hon’ble Supreme Court of India in the case of State Of Andhra Pradesh vs N. </w:t>
      </w:r>
      <w:proofErr w:type="spellStart"/>
      <w:r w:rsidR="00A51909" w:rsidRPr="00A51909">
        <w:rPr>
          <w:rFonts w:ascii="Bookman Old Style" w:hAnsi="Bookman Old Style"/>
        </w:rPr>
        <w:t>Radhakishan</w:t>
      </w:r>
      <w:proofErr w:type="spellEnd"/>
      <w:r w:rsidR="00A51909" w:rsidRPr="00A51909">
        <w:rPr>
          <w:rFonts w:ascii="Bookman Old Style" w:hAnsi="Bookman Old Style"/>
        </w:rPr>
        <w:t xml:space="preserve"> delivered on 7 April, 1998. Copy attached.</w:t>
      </w:r>
    </w:p>
    <w:p w:rsidR="00C738BA" w:rsidRPr="009D4F47" w:rsidRDefault="00C738BA" w:rsidP="00BF5E3B">
      <w:pPr>
        <w:pStyle w:val="ListParagraph"/>
        <w:shd w:val="clear" w:color="auto" w:fill="FFFFFF"/>
        <w:spacing w:before="120" w:after="0" w:line="276" w:lineRule="auto"/>
        <w:ind w:left="993" w:hanging="426"/>
        <w:jc w:val="both"/>
        <w:rPr>
          <w:rFonts w:ascii="Bookman Old Style" w:eastAsia="Times New Roman" w:hAnsi="Bookman Old Style" w:cs="Arial"/>
          <w:color w:val="222222"/>
          <w:lang w:eastAsia="en-IN"/>
        </w:rPr>
      </w:pPr>
    </w:p>
    <w:p w:rsidR="00D27DAB" w:rsidRPr="009D4F47" w:rsidRDefault="009B028F"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sidRPr="009D4F47">
        <w:rPr>
          <w:rFonts w:ascii="Bookman Old Style" w:eastAsia="Times New Roman" w:hAnsi="Bookman Old Style" w:cs="Arial"/>
          <w:color w:val="222222"/>
          <w:lang w:eastAsia="en-IN"/>
        </w:rPr>
        <w:t xml:space="preserve">In respect of </w:t>
      </w:r>
      <w:r w:rsidR="00C738BA" w:rsidRPr="009D4F47">
        <w:rPr>
          <w:rFonts w:ascii="Bookman Old Style" w:eastAsia="Times New Roman" w:hAnsi="Bookman Old Style" w:cs="Arial"/>
          <w:color w:val="222222"/>
          <w:lang w:eastAsia="en-IN"/>
        </w:rPr>
        <w:t>Articles of Charge</w:t>
      </w:r>
      <w:r w:rsidRPr="009D4F47">
        <w:rPr>
          <w:rFonts w:ascii="Bookman Old Style" w:eastAsia="Times New Roman" w:hAnsi="Bookman Old Style" w:cs="Arial"/>
          <w:color w:val="222222"/>
          <w:lang w:eastAsia="en-IN"/>
        </w:rPr>
        <w:t xml:space="preserve"> 1 &amp; 2 above, </w:t>
      </w:r>
      <w:r w:rsidR="00D27DAB" w:rsidRPr="009D4F47">
        <w:rPr>
          <w:rFonts w:ascii="Bookman Old Style" w:eastAsia="Times New Roman" w:hAnsi="Bookman Old Style" w:cs="Arial"/>
          <w:color w:val="222222"/>
          <w:lang w:eastAsia="en-IN"/>
        </w:rPr>
        <w:t xml:space="preserve">the charges levelled are without correct appreciation of facts. It can be clearly seen from the Appraisal report that there were no findings given or conclusions drawn on both these issues and the matters were left for AO to examine the issue and take necessary action as per law. This is quite evident from the remarks given in the Appraisal Report in Para 10.3.3. and 12.4.3 relating to both these issues. </w:t>
      </w:r>
      <w:r w:rsidR="00CF616E">
        <w:rPr>
          <w:rFonts w:ascii="Bookman Old Style" w:eastAsia="Times New Roman" w:hAnsi="Bookman Old Style" w:cs="Arial"/>
          <w:color w:val="222222"/>
          <w:lang w:eastAsia="en-IN"/>
        </w:rPr>
        <w:t xml:space="preserve">Further, </w:t>
      </w:r>
      <w:r w:rsidR="00742FFB">
        <w:rPr>
          <w:rFonts w:ascii="Bookman Old Style" w:eastAsia="Times New Roman" w:hAnsi="Bookman Old Style" w:cs="Arial"/>
          <w:color w:val="222222"/>
          <w:lang w:eastAsia="en-IN"/>
        </w:rPr>
        <w:t xml:space="preserve">both </w:t>
      </w:r>
      <w:r w:rsidR="00742FFB" w:rsidRPr="000134B4">
        <w:rPr>
          <w:rFonts w:ascii="Bookman Old Style" w:hAnsi="Bookman Old Style"/>
        </w:rPr>
        <w:t>the issue</w:t>
      </w:r>
      <w:r w:rsidR="00742FFB">
        <w:rPr>
          <w:rFonts w:ascii="Bookman Old Style" w:hAnsi="Bookman Old Style"/>
        </w:rPr>
        <w:t>s</w:t>
      </w:r>
      <w:r w:rsidR="001734DE">
        <w:rPr>
          <w:rFonts w:ascii="Bookman Old Style" w:hAnsi="Bookman Old Style"/>
        </w:rPr>
        <w:t xml:space="preserve"> </w:t>
      </w:r>
      <w:r w:rsidR="00742FFB">
        <w:rPr>
          <w:rFonts w:ascii="Bookman Old Style" w:hAnsi="Bookman Old Style"/>
        </w:rPr>
        <w:t xml:space="preserve">were </w:t>
      </w:r>
      <w:r w:rsidR="00742FFB" w:rsidRPr="000134B4">
        <w:rPr>
          <w:rFonts w:ascii="Bookman Old Style" w:hAnsi="Bookman Old Style"/>
          <w:b/>
        </w:rPr>
        <w:t>re-examined</w:t>
      </w:r>
      <w:r w:rsidR="00742FFB">
        <w:rPr>
          <w:rFonts w:ascii="Bookman Old Style" w:hAnsi="Bookman Old Style"/>
          <w:b/>
        </w:rPr>
        <w:t xml:space="preserve"> fully</w:t>
      </w:r>
      <w:r w:rsidR="00742FFB" w:rsidRPr="000134B4">
        <w:rPr>
          <w:rFonts w:ascii="Bookman Old Style" w:hAnsi="Bookman Old Style"/>
        </w:rPr>
        <w:t xml:space="preserve"> as suggested in the Appraisal and there was no deviation from the suggestion given in the Appraisal</w:t>
      </w:r>
    </w:p>
    <w:p w:rsidR="00D27DAB" w:rsidRPr="009D4F47" w:rsidRDefault="00D27DAB" w:rsidP="00BF5E3B">
      <w:pPr>
        <w:pStyle w:val="ListParagraph"/>
        <w:ind w:hanging="426"/>
        <w:rPr>
          <w:rFonts w:ascii="Bookman Old Style" w:eastAsia="Times New Roman" w:hAnsi="Bookman Old Style" w:cs="Arial"/>
          <w:color w:val="222222"/>
          <w:lang w:eastAsia="en-IN"/>
        </w:rPr>
      </w:pPr>
    </w:p>
    <w:p w:rsidR="00742FFB" w:rsidRDefault="00742FFB"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Pr>
          <w:rFonts w:ascii="Bookman Old Style" w:hAnsi="Bookman Old Style"/>
        </w:rPr>
        <w:t xml:space="preserve">Subsequently, both these issues were </w:t>
      </w:r>
      <w:r w:rsidRPr="00F17E6E">
        <w:rPr>
          <w:rFonts w:ascii="Bookman Old Style" w:hAnsi="Bookman Old Style"/>
        </w:rPr>
        <w:t xml:space="preserve">considered by the Ld. PCIT in the course of revision proceedings u/s 263 of the IT Act </w:t>
      </w:r>
      <w:r>
        <w:rPr>
          <w:rFonts w:ascii="Bookman Old Style" w:hAnsi="Bookman Old Style"/>
        </w:rPr>
        <w:t xml:space="preserve">and vide </w:t>
      </w:r>
      <w:r w:rsidRPr="00F17E6E">
        <w:rPr>
          <w:rFonts w:ascii="Bookman Old Style" w:hAnsi="Bookman Old Style"/>
        </w:rPr>
        <w:t>his order dated 30-03-2016 u/s 263 of the Act. Ld.</w:t>
      </w:r>
      <w:r>
        <w:rPr>
          <w:rFonts w:ascii="Bookman Old Style" w:hAnsi="Bookman Old Style"/>
        </w:rPr>
        <w:t>, t</w:t>
      </w:r>
      <w:r w:rsidRPr="00F17E6E">
        <w:rPr>
          <w:rFonts w:ascii="Bookman Old Style" w:hAnsi="Bookman Old Style"/>
        </w:rPr>
        <w:t>he Ld. PCIT has held the assessment order to be incorrect, erroneous as well prejudiced to the interest of revenue</w:t>
      </w:r>
      <w:r>
        <w:rPr>
          <w:rFonts w:ascii="Bookman Old Style" w:hAnsi="Bookman Old Style"/>
        </w:rPr>
        <w:t xml:space="preserve">. </w:t>
      </w:r>
    </w:p>
    <w:p w:rsidR="00742FFB" w:rsidRPr="00742FFB" w:rsidRDefault="00742FFB" w:rsidP="00742FFB">
      <w:pPr>
        <w:pStyle w:val="ListParagraph"/>
        <w:rPr>
          <w:rFonts w:ascii="Bookman Old Style" w:eastAsia="Times New Roman" w:hAnsi="Bookman Old Style" w:cs="Arial"/>
          <w:color w:val="222222"/>
          <w:lang w:eastAsia="en-IN"/>
        </w:rPr>
      </w:pPr>
    </w:p>
    <w:p w:rsidR="00C738BA" w:rsidRPr="009D4F47" w:rsidRDefault="00742FFB"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Pr>
          <w:rFonts w:ascii="Bookman Old Style" w:eastAsia="Times New Roman" w:hAnsi="Bookman Old Style" w:cs="Arial"/>
          <w:color w:val="222222"/>
          <w:lang w:eastAsia="en-IN"/>
        </w:rPr>
        <w:t xml:space="preserve">However, </w:t>
      </w:r>
      <w:r w:rsidR="00D27DAB" w:rsidRPr="009D4F47">
        <w:rPr>
          <w:rFonts w:ascii="Bookman Old Style" w:eastAsia="Times New Roman" w:hAnsi="Bookman Old Style" w:cs="Arial"/>
          <w:color w:val="222222"/>
          <w:lang w:eastAsia="en-IN"/>
        </w:rPr>
        <w:t>on both these issues t</w:t>
      </w:r>
      <w:r w:rsidR="009B028F" w:rsidRPr="009D4F47">
        <w:rPr>
          <w:rFonts w:ascii="Bookman Old Style" w:eastAsia="Times New Roman" w:hAnsi="Bookman Old Style" w:cs="Arial"/>
          <w:color w:val="222222"/>
          <w:lang w:eastAsia="en-IN"/>
        </w:rPr>
        <w:t xml:space="preserve">he Hon’ble ‘E’ Bench </w:t>
      </w:r>
      <w:r w:rsidR="006D2E6C" w:rsidRPr="009D4F47">
        <w:rPr>
          <w:rFonts w:ascii="Bookman Old Style" w:eastAsia="Times New Roman" w:hAnsi="Bookman Old Style" w:cs="Arial"/>
          <w:color w:val="222222"/>
          <w:lang w:eastAsia="en-IN"/>
        </w:rPr>
        <w:t>of ITAT</w:t>
      </w:r>
      <w:r w:rsidR="001734DE">
        <w:rPr>
          <w:rFonts w:ascii="Bookman Old Style" w:eastAsia="Times New Roman" w:hAnsi="Bookman Old Style" w:cs="Arial"/>
          <w:color w:val="222222"/>
          <w:lang w:eastAsia="en-IN"/>
        </w:rPr>
        <w:t xml:space="preserve"> </w:t>
      </w:r>
      <w:r w:rsidR="009B028F" w:rsidRPr="009D4F47">
        <w:rPr>
          <w:rFonts w:ascii="Bookman Old Style" w:eastAsia="Times New Roman" w:hAnsi="Bookman Old Style" w:cs="Arial"/>
          <w:color w:val="222222"/>
          <w:lang w:eastAsia="en-IN"/>
        </w:rPr>
        <w:t>Mumbai in their order in ITA No. 2750</w:t>
      </w:r>
      <w:r w:rsidR="006D2E6C" w:rsidRPr="009D4F47">
        <w:rPr>
          <w:rFonts w:ascii="Bookman Old Style" w:eastAsia="Times New Roman" w:hAnsi="Bookman Old Style" w:cs="Arial"/>
          <w:color w:val="222222"/>
          <w:lang w:eastAsia="en-IN"/>
        </w:rPr>
        <w:t xml:space="preserve"> to 2756</w:t>
      </w:r>
      <w:r w:rsidR="009B028F" w:rsidRPr="009D4F47">
        <w:rPr>
          <w:rFonts w:ascii="Bookman Old Style" w:eastAsia="Times New Roman" w:hAnsi="Bookman Old Style" w:cs="Arial"/>
          <w:color w:val="222222"/>
          <w:lang w:eastAsia="en-IN"/>
        </w:rPr>
        <w:t>/Mum</w:t>
      </w:r>
      <w:r w:rsidR="006D2E6C" w:rsidRPr="009D4F47">
        <w:rPr>
          <w:rFonts w:ascii="Bookman Old Style" w:eastAsia="Times New Roman" w:hAnsi="Bookman Old Style" w:cs="Arial"/>
          <w:color w:val="222222"/>
          <w:lang w:eastAsia="en-IN"/>
        </w:rPr>
        <w:t xml:space="preserve">bai/2016 dated 29.06.2016 have quashed the revision order of the Pr. CIT passed u/s 263 and held that the AO had done all inquiries and come to a logically correct conclusion and invoking of provisions of section 263 by PCIT is not justified.  </w:t>
      </w:r>
    </w:p>
    <w:p w:rsidR="00C738BA" w:rsidRPr="009D4F47" w:rsidRDefault="00C738BA" w:rsidP="00BF5E3B">
      <w:pPr>
        <w:pStyle w:val="ListParagraph"/>
        <w:shd w:val="clear" w:color="auto" w:fill="FFFFFF"/>
        <w:spacing w:before="120" w:after="0" w:line="276" w:lineRule="auto"/>
        <w:ind w:left="993" w:hanging="426"/>
        <w:jc w:val="both"/>
        <w:rPr>
          <w:rFonts w:ascii="Bookman Old Style" w:eastAsia="Times New Roman" w:hAnsi="Bookman Old Style" w:cs="Arial"/>
          <w:color w:val="222222"/>
          <w:lang w:eastAsia="en-IN"/>
        </w:rPr>
      </w:pPr>
    </w:p>
    <w:p w:rsidR="006D2E6C" w:rsidRPr="009D4F47" w:rsidRDefault="006D2E6C" w:rsidP="00BF5E3B">
      <w:pPr>
        <w:pStyle w:val="ListParagraph"/>
        <w:numPr>
          <w:ilvl w:val="0"/>
          <w:numId w:val="9"/>
        </w:numPr>
        <w:autoSpaceDE w:val="0"/>
        <w:autoSpaceDN w:val="0"/>
        <w:spacing w:after="0" w:line="276" w:lineRule="auto"/>
        <w:ind w:left="993" w:hanging="426"/>
        <w:jc w:val="both"/>
        <w:rPr>
          <w:rFonts w:ascii="Bookman Old Style" w:hAnsi="Bookman Old Style"/>
        </w:rPr>
      </w:pPr>
      <w:r w:rsidRPr="009D4F47">
        <w:rPr>
          <w:rFonts w:ascii="Bookman Old Style" w:eastAsia="Times New Roman" w:hAnsi="Bookman Old Style" w:cs="Arial"/>
          <w:color w:val="222222"/>
          <w:lang w:eastAsia="en-IN"/>
        </w:rPr>
        <w:t xml:space="preserve">The above order of Hon’ble ITAT Mumbai was challenged by the dept. before Jurisdictional </w:t>
      </w:r>
      <w:r w:rsidR="00C738BA" w:rsidRPr="009D4F47">
        <w:rPr>
          <w:rFonts w:ascii="Bookman Old Style" w:eastAsia="Times New Roman" w:hAnsi="Bookman Old Style" w:cs="Arial"/>
          <w:color w:val="222222"/>
          <w:lang w:eastAsia="en-IN"/>
        </w:rPr>
        <w:t>High Court of Bombay</w:t>
      </w:r>
      <w:r w:rsidRPr="009D4F47">
        <w:rPr>
          <w:rFonts w:ascii="Bookman Old Style" w:eastAsia="Times New Roman" w:hAnsi="Bookman Old Style" w:cs="Arial"/>
          <w:color w:val="222222"/>
          <w:lang w:eastAsia="en-IN"/>
        </w:rPr>
        <w:t xml:space="preserve">. </w:t>
      </w:r>
      <w:r w:rsidRPr="009D4F47">
        <w:rPr>
          <w:rFonts w:ascii="Bookman Old Style" w:hAnsi="Bookman Old Style"/>
        </w:rPr>
        <w:t>Hon’ble High Court of Bombay in their order in ITA No. 495, 496, 499, 508, 517, 518 &amp; 535 of 2017 dated 29-07-2019 have held as under: -</w:t>
      </w:r>
    </w:p>
    <w:p w:rsidR="006D2E6C" w:rsidRPr="009D4F47" w:rsidRDefault="006D2E6C" w:rsidP="00BF5E3B">
      <w:pPr>
        <w:pStyle w:val="ListParagraph"/>
        <w:ind w:hanging="426"/>
        <w:rPr>
          <w:rFonts w:ascii="Bookman Old Style" w:hAnsi="Bookman Old Style"/>
        </w:rPr>
      </w:pPr>
    </w:p>
    <w:p w:rsidR="006D2E6C" w:rsidRPr="009D4F47" w:rsidRDefault="006D2E6C" w:rsidP="00BF5E3B">
      <w:pPr>
        <w:pStyle w:val="ListParagraph"/>
        <w:spacing w:line="276" w:lineRule="auto"/>
        <w:ind w:left="993" w:hanging="426"/>
        <w:jc w:val="both"/>
        <w:rPr>
          <w:rFonts w:ascii="Bookman Old Style" w:hAnsi="Bookman Old Style"/>
        </w:rPr>
      </w:pPr>
      <w:r w:rsidRPr="009D4F47">
        <w:rPr>
          <w:rFonts w:ascii="Bookman Old Style" w:hAnsi="Bookman Old Style"/>
        </w:rPr>
        <w:t>“</w:t>
      </w:r>
      <w:r w:rsidRPr="009D4F47">
        <w:rPr>
          <w:rFonts w:ascii="Bookman Old Style" w:hAnsi="Bookman Old Style"/>
          <w:i/>
          <w:iCs/>
        </w:rPr>
        <w:t xml:space="preserve">We have perused the judgment of the Income Tax Appellate Tribunal with the assistance of the learned counsel for the parties. </w:t>
      </w:r>
      <w:r w:rsidRPr="009D4F47">
        <w:rPr>
          <w:rFonts w:ascii="Bookman Old Style" w:hAnsi="Bookman Old Style"/>
          <w:b/>
          <w:bCs/>
          <w:i/>
          <w:iCs/>
          <w:u w:val="single"/>
        </w:rPr>
        <w:t>We find that the Tribunal has specifically dealt with each head separately and come to the conclusion that the Assessing Officer in the original assessment has made full inquiries and thereafter come to the conclusion,</w:t>
      </w:r>
      <w:r w:rsidRPr="009D4F47">
        <w:rPr>
          <w:rFonts w:ascii="Bookman Old Style" w:hAnsi="Bookman Old Style"/>
          <w:i/>
          <w:iCs/>
        </w:rPr>
        <w:t xml:space="preserve"> contrary to what the Commissioner has done. The Tribunal was therefore correctly of the opinion that the revisional power under </w:t>
      </w:r>
      <w:r w:rsidRPr="009D4F47">
        <w:rPr>
          <w:rFonts w:ascii="Bookman Old Style" w:hAnsi="Bookman Old Style"/>
          <w:i/>
          <w:iCs/>
        </w:rPr>
        <w:lastRenderedPageBreak/>
        <w:t xml:space="preserve">section 263 of the Act could not have been exercised. No </w:t>
      </w:r>
      <w:proofErr w:type="gramStart"/>
      <w:r w:rsidRPr="009D4F47">
        <w:rPr>
          <w:rFonts w:ascii="Bookman Old Style" w:hAnsi="Bookman Old Style"/>
          <w:i/>
          <w:iCs/>
        </w:rPr>
        <w:t>question of law arise</w:t>
      </w:r>
      <w:proofErr w:type="gramEnd"/>
      <w:r w:rsidRPr="009D4F47">
        <w:rPr>
          <w:rFonts w:ascii="Bookman Old Style" w:hAnsi="Bookman Old Style"/>
          <w:i/>
          <w:iCs/>
        </w:rPr>
        <w:t>. The Income Tax Appeals are dismissed.</w:t>
      </w:r>
      <w:r w:rsidRPr="009D4F47">
        <w:rPr>
          <w:rFonts w:ascii="Bookman Old Style" w:hAnsi="Bookman Old Style"/>
        </w:rPr>
        <w:t>” [Emphasis supplied]</w:t>
      </w:r>
    </w:p>
    <w:p w:rsidR="00C738BA" w:rsidRPr="009D4F47" w:rsidRDefault="00C738BA" w:rsidP="00BF5E3B">
      <w:pPr>
        <w:pStyle w:val="ListParagraph"/>
        <w:shd w:val="clear" w:color="auto" w:fill="FFFFFF"/>
        <w:spacing w:before="120" w:after="0" w:line="276" w:lineRule="auto"/>
        <w:ind w:left="993" w:hanging="426"/>
        <w:jc w:val="both"/>
        <w:rPr>
          <w:rFonts w:ascii="Bookman Old Style" w:eastAsia="Times New Roman" w:hAnsi="Bookman Old Style" w:cs="Arial"/>
          <w:color w:val="222222"/>
          <w:lang w:eastAsia="en-IN"/>
        </w:rPr>
      </w:pPr>
    </w:p>
    <w:p w:rsidR="00C738BA" w:rsidRPr="009D4F47" w:rsidRDefault="00C738BA"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sidRPr="009D4F47">
        <w:rPr>
          <w:rFonts w:ascii="Bookman Old Style" w:eastAsia="Times New Roman" w:hAnsi="Bookman Old Style" w:cs="Arial"/>
          <w:color w:val="222222"/>
          <w:lang w:eastAsia="en-IN"/>
        </w:rPr>
        <w:t xml:space="preserve">In so far as </w:t>
      </w:r>
      <w:r w:rsidRPr="009D4F47">
        <w:rPr>
          <w:rFonts w:ascii="Bookman Old Style" w:eastAsia="Times New Roman" w:hAnsi="Bookman Old Style" w:cs="Arial"/>
          <w:b/>
          <w:bCs/>
          <w:color w:val="222222"/>
          <w:lang w:eastAsia="en-IN"/>
        </w:rPr>
        <w:t>third</w:t>
      </w:r>
      <w:r w:rsidRPr="009D4F47">
        <w:rPr>
          <w:rFonts w:ascii="Bookman Old Style" w:eastAsia="Times New Roman" w:hAnsi="Bookman Old Style" w:cs="Arial"/>
          <w:color w:val="222222"/>
          <w:lang w:eastAsia="en-IN"/>
        </w:rPr>
        <w:t xml:space="preserve"> article of charge is concerned, the same issue was not even </w:t>
      </w:r>
      <w:r w:rsidR="002179B8" w:rsidRPr="009D4F47">
        <w:rPr>
          <w:rFonts w:ascii="Bookman Old Style" w:eastAsia="Times New Roman" w:hAnsi="Bookman Old Style" w:cs="Arial"/>
          <w:color w:val="222222"/>
          <w:lang w:eastAsia="en-IN"/>
        </w:rPr>
        <w:t>considered</w:t>
      </w:r>
      <w:r w:rsidRPr="009D4F47">
        <w:rPr>
          <w:rFonts w:ascii="Bookman Old Style" w:eastAsia="Times New Roman" w:hAnsi="Bookman Old Style" w:cs="Arial"/>
          <w:color w:val="222222"/>
          <w:lang w:eastAsia="en-IN"/>
        </w:rPr>
        <w:t xml:space="preserve"> for revision </w:t>
      </w:r>
      <w:proofErr w:type="spellStart"/>
      <w:r w:rsidRPr="009D4F47">
        <w:rPr>
          <w:rFonts w:ascii="Bookman Old Style" w:eastAsia="Times New Roman" w:hAnsi="Bookman Old Style" w:cs="Arial"/>
          <w:color w:val="222222"/>
          <w:lang w:eastAsia="en-IN"/>
        </w:rPr>
        <w:t>u.s</w:t>
      </w:r>
      <w:proofErr w:type="spellEnd"/>
      <w:r w:rsidR="00D27DAB" w:rsidRPr="009D4F47">
        <w:rPr>
          <w:rFonts w:ascii="Bookman Old Style" w:eastAsia="Times New Roman" w:hAnsi="Bookman Old Style" w:cs="Arial"/>
          <w:color w:val="222222"/>
          <w:lang w:eastAsia="en-IN"/>
        </w:rPr>
        <w:t>.</w:t>
      </w:r>
      <w:r w:rsidRPr="009D4F47">
        <w:rPr>
          <w:rFonts w:ascii="Bookman Old Style" w:eastAsia="Times New Roman" w:hAnsi="Bookman Old Style" w:cs="Arial"/>
          <w:color w:val="222222"/>
          <w:lang w:eastAsia="en-IN"/>
        </w:rPr>
        <w:t xml:space="preserve"> 263 by the PCIT, who passed order two years later</w:t>
      </w:r>
      <w:r w:rsidR="001734DE">
        <w:rPr>
          <w:rFonts w:ascii="Bookman Old Style" w:eastAsia="Times New Roman" w:hAnsi="Bookman Old Style" w:cs="Arial"/>
          <w:color w:val="222222"/>
          <w:lang w:eastAsia="en-IN"/>
        </w:rPr>
        <w:t xml:space="preserve"> </w:t>
      </w:r>
      <w:r w:rsidR="00742FFB">
        <w:rPr>
          <w:rFonts w:ascii="Bookman Old Style" w:eastAsia="Times New Roman" w:hAnsi="Bookman Old Style" w:cs="Arial"/>
          <w:color w:val="222222"/>
          <w:lang w:eastAsia="en-IN"/>
        </w:rPr>
        <w:t>i.e. on 31.03.2016</w:t>
      </w:r>
      <w:r w:rsidRPr="009D4F47">
        <w:rPr>
          <w:rFonts w:ascii="Bookman Old Style" w:eastAsia="Times New Roman" w:hAnsi="Bookman Old Style" w:cs="Arial"/>
          <w:color w:val="222222"/>
          <w:lang w:eastAsia="en-IN"/>
        </w:rPr>
        <w:t>, after verifying</w:t>
      </w:r>
      <w:r w:rsidR="002179B8" w:rsidRPr="009D4F47">
        <w:rPr>
          <w:rFonts w:ascii="Bookman Old Style" w:eastAsia="Times New Roman" w:hAnsi="Bookman Old Style" w:cs="Arial"/>
          <w:color w:val="222222"/>
          <w:lang w:eastAsia="en-IN"/>
        </w:rPr>
        <w:t xml:space="preserve"> and examining</w:t>
      </w:r>
      <w:r w:rsidRPr="009D4F47">
        <w:rPr>
          <w:rFonts w:ascii="Bookman Old Style" w:eastAsia="Times New Roman" w:hAnsi="Bookman Old Style" w:cs="Arial"/>
          <w:color w:val="222222"/>
          <w:lang w:eastAsia="en-IN"/>
        </w:rPr>
        <w:t xml:space="preserve"> all </w:t>
      </w:r>
      <w:r w:rsidR="002179B8" w:rsidRPr="009D4F47">
        <w:rPr>
          <w:rFonts w:ascii="Bookman Old Style" w:eastAsia="Times New Roman" w:hAnsi="Bookman Old Style" w:cs="Arial"/>
          <w:color w:val="222222"/>
          <w:lang w:eastAsia="en-IN"/>
        </w:rPr>
        <w:t xml:space="preserve">material available on </w:t>
      </w:r>
      <w:r w:rsidRPr="009D4F47">
        <w:rPr>
          <w:rFonts w:ascii="Bookman Old Style" w:eastAsia="Times New Roman" w:hAnsi="Bookman Old Style" w:cs="Arial"/>
          <w:color w:val="222222"/>
          <w:lang w:eastAsia="en-IN"/>
        </w:rPr>
        <w:t xml:space="preserve">record, which </w:t>
      </w:r>
      <w:r w:rsidR="002179B8" w:rsidRPr="009D4F47">
        <w:rPr>
          <w:rFonts w:ascii="Bookman Old Style" w:eastAsia="Times New Roman" w:hAnsi="Bookman Old Style" w:cs="Arial"/>
          <w:color w:val="222222"/>
          <w:lang w:eastAsia="en-IN"/>
        </w:rPr>
        <w:t xml:space="preserve">proves that there was no lapse of revenue </w:t>
      </w:r>
      <w:r w:rsidRPr="009D4F47">
        <w:rPr>
          <w:rFonts w:ascii="Bookman Old Style" w:eastAsia="Times New Roman" w:hAnsi="Bookman Old Style" w:cs="Arial"/>
          <w:color w:val="222222"/>
          <w:lang w:eastAsia="en-IN"/>
        </w:rPr>
        <w:t>on this issue also.</w:t>
      </w:r>
      <w:r w:rsidR="0016731E" w:rsidRPr="009D4F47">
        <w:rPr>
          <w:rFonts w:ascii="Bookman Old Style" w:eastAsia="Times New Roman" w:hAnsi="Bookman Old Style" w:cs="Arial"/>
          <w:color w:val="222222"/>
          <w:lang w:eastAsia="en-IN"/>
        </w:rPr>
        <w:t xml:space="preserve"> Further, in the Article of Charge also the quantum of revenue loss is stated to be unascertained.</w:t>
      </w:r>
    </w:p>
    <w:p w:rsidR="00C738BA" w:rsidRPr="009D4F47" w:rsidRDefault="00C738BA" w:rsidP="00BF5E3B">
      <w:pPr>
        <w:pStyle w:val="ListParagraph"/>
        <w:shd w:val="clear" w:color="auto" w:fill="FFFFFF"/>
        <w:spacing w:before="120" w:after="0" w:line="276" w:lineRule="auto"/>
        <w:ind w:left="993" w:hanging="426"/>
        <w:jc w:val="both"/>
        <w:rPr>
          <w:rFonts w:ascii="Bookman Old Style" w:eastAsia="Times New Roman" w:hAnsi="Bookman Old Style" w:cs="Arial"/>
          <w:color w:val="222222"/>
          <w:lang w:eastAsia="en-IN"/>
        </w:rPr>
      </w:pPr>
    </w:p>
    <w:p w:rsidR="00C738BA" w:rsidRPr="001734DE" w:rsidRDefault="00C738BA"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sidRPr="001734DE">
        <w:rPr>
          <w:rFonts w:ascii="Bookman Old Style" w:eastAsia="Times New Roman" w:hAnsi="Bookman Old Style" w:cs="Arial"/>
          <w:color w:val="222222"/>
          <w:lang w:eastAsia="en-IN"/>
        </w:rPr>
        <w:t xml:space="preserve">In </w:t>
      </w:r>
      <w:r w:rsidR="00742FFB" w:rsidRPr="001734DE">
        <w:rPr>
          <w:rFonts w:ascii="Bookman Old Style" w:eastAsia="Times New Roman" w:hAnsi="Bookman Old Style" w:cs="Arial"/>
          <w:color w:val="222222"/>
          <w:lang w:eastAsia="en-IN"/>
        </w:rPr>
        <w:t xml:space="preserve">Article </w:t>
      </w:r>
      <w:r w:rsidR="002179B8" w:rsidRPr="001734DE">
        <w:rPr>
          <w:rFonts w:ascii="Bookman Old Style" w:eastAsia="Times New Roman" w:hAnsi="Bookman Old Style" w:cs="Arial"/>
          <w:color w:val="222222"/>
          <w:lang w:eastAsia="en-IN"/>
        </w:rPr>
        <w:t xml:space="preserve">of </w:t>
      </w:r>
      <w:r w:rsidR="00742FFB" w:rsidRPr="001734DE">
        <w:rPr>
          <w:rFonts w:ascii="Bookman Old Style" w:eastAsia="Times New Roman" w:hAnsi="Bookman Old Style" w:cs="Arial"/>
          <w:color w:val="222222"/>
          <w:lang w:eastAsia="en-IN"/>
        </w:rPr>
        <w:t xml:space="preserve">Charge Sheet </w:t>
      </w:r>
      <w:r w:rsidR="00713D31" w:rsidRPr="001734DE">
        <w:rPr>
          <w:rFonts w:ascii="Bookman Old Style" w:eastAsia="Times New Roman" w:hAnsi="Bookman Old Style" w:cs="Arial"/>
          <w:color w:val="222222"/>
          <w:lang w:eastAsia="en-IN"/>
        </w:rPr>
        <w:t xml:space="preserve">given to me </w:t>
      </w:r>
      <w:r w:rsidRPr="001734DE">
        <w:rPr>
          <w:rFonts w:ascii="Bookman Old Style" w:eastAsia="Times New Roman" w:hAnsi="Bookman Old Style" w:cs="Arial"/>
          <w:color w:val="222222"/>
          <w:lang w:eastAsia="en-IN"/>
        </w:rPr>
        <w:t xml:space="preserve">it is </w:t>
      </w:r>
      <w:r w:rsidR="002179B8" w:rsidRPr="001734DE">
        <w:rPr>
          <w:rFonts w:ascii="Bookman Old Style" w:eastAsia="Times New Roman" w:hAnsi="Bookman Old Style" w:cs="Arial"/>
          <w:color w:val="222222"/>
          <w:lang w:eastAsia="en-IN"/>
        </w:rPr>
        <w:t xml:space="preserve">stated </w:t>
      </w:r>
      <w:r w:rsidRPr="001734DE">
        <w:rPr>
          <w:rFonts w:ascii="Bookman Old Style" w:eastAsia="Times New Roman" w:hAnsi="Bookman Old Style" w:cs="Arial"/>
          <w:color w:val="222222"/>
          <w:lang w:eastAsia="en-IN"/>
        </w:rPr>
        <w:t xml:space="preserve">that </w:t>
      </w:r>
      <w:r w:rsidR="001734DE" w:rsidRPr="001734DE">
        <w:rPr>
          <w:rFonts w:ascii="Bookman Old Style" w:hAnsi="Bookman Old Style"/>
        </w:rPr>
        <w:t>findings/conclusions drawn in the Appraisal Report were conclusive.</w:t>
      </w:r>
      <w:r w:rsidR="001734DE">
        <w:rPr>
          <w:rFonts w:ascii="Bookman Old Style" w:hAnsi="Bookman Old Style"/>
        </w:rPr>
        <w:t xml:space="preserve"> It is pertinent to mention that around same time </w:t>
      </w:r>
      <w:r w:rsidR="002179B8" w:rsidRPr="001734DE">
        <w:rPr>
          <w:rFonts w:ascii="Bookman Old Style" w:eastAsia="Times New Roman" w:hAnsi="Bookman Old Style" w:cs="Arial"/>
          <w:color w:val="222222"/>
          <w:lang w:eastAsia="en-IN"/>
        </w:rPr>
        <w:t xml:space="preserve">a similar Memorandum of Charge </w:t>
      </w:r>
      <w:r w:rsidR="00771981">
        <w:rPr>
          <w:rFonts w:ascii="Bookman Old Style" w:eastAsia="Times New Roman" w:hAnsi="Bookman Old Style" w:cs="Arial"/>
          <w:color w:val="222222"/>
          <w:lang w:eastAsia="en-IN"/>
        </w:rPr>
        <w:t xml:space="preserve">Sheet </w:t>
      </w:r>
      <w:r w:rsidR="00F214D4" w:rsidRPr="001734DE">
        <w:rPr>
          <w:rFonts w:ascii="Bookman Old Style" w:eastAsia="Times New Roman" w:hAnsi="Bookman Old Style" w:cs="Arial"/>
          <w:color w:val="222222"/>
          <w:lang w:eastAsia="en-IN"/>
        </w:rPr>
        <w:t xml:space="preserve">of even date i.e. 01.03.2021 </w:t>
      </w:r>
      <w:r w:rsidR="002179B8" w:rsidRPr="001734DE">
        <w:rPr>
          <w:rFonts w:ascii="Bookman Old Style" w:eastAsia="Times New Roman" w:hAnsi="Bookman Old Style" w:cs="Arial"/>
          <w:color w:val="222222"/>
          <w:lang w:eastAsia="en-IN"/>
        </w:rPr>
        <w:t xml:space="preserve">is </w:t>
      </w:r>
      <w:r w:rsidR="00F214D4" w:rsidRPr="001734DE">
        <w:rPr>
          <w:rFonts w:ascii="Bookman Old Style" w:eastAsia="Times New Roman" w:hAnsi="Bookman Old Style" w:cs="Arial"/>
          <w:color w:val="222222"/>
          <w:lang w:eastAsia="en-IN"/>
        </w:rPr>
        <w:t xml:space="preserve">also </w:t>
      </w:r>
      <w:r w:rsidR="002179B8" w:rsidRPr="001734DE">
        <w:rPr>
          <w:rFonts w:ascii="Bookman Old Style" w:eastAsia="Times New Roman" w:hAnsi="Bookman Old Style" w:cs="Arial"/>
          <w:color w:val="222222"/>
          <w:lang w:eastAsia="en-IN"/>
        </w:rPr>
        <w:t xml:space="preserve">given to the then </w:t>
      </w:r>
      <w:proofErr w:type="spellStart"/>
      <w:r w:rsidR="002179B8" w:rsidRPr="001734DE">
        <w:rPr>
          <w:rFonts w:ascii="Bookman Old Style" w:eastAsia="Times New Roman" w:hAnsi="Bookman Old Style" w:cs="Arial"/>
          <w:color w:val="222222"/>
          <w:lang w:eastAsia="en-IN"/>
        </w:rPr>
        <w:t>Addl</w:t>
      </w:r>
      <w:proofErr w:type="spellEnd"/>
      <w:r w:rsidR="002179B8" w:rsidRPr="001734DE">
        <w:rPr>
          <w:rFonts w:ascii="Bookman Old Style" w:eastAsia="Times New Roman" w:hAnsi="Bookman Old Style" w:cs="Arial"/>
          <w:color w:val="222222"/>
          <w:lang w:eastAsia="en-IN"/>
        </w:rPr>
        <w:t xml:space="preserve"> DIT (Inv), Mumbai and the </w:t>
      </w:r>
      <w:r w:rsidR="00771981">
        <w:rPr>
          <w:rFonts w:ascii="Bookman Old Style" w:eastAsia="Times New Roman" w:hAnsi="Bookman Old Style" w:cs="Arial"/>
          <w:color w:val="222222"/>
          <w:lang w:eastAsia="en-IN"/>
        </w:rPr>
        <w:t xml:space="preserve">then </w:t>
      </w:r>
      <w:r w:rsidR="002179B8" w:rsidRPr="001734DE">
        <w:rPr>
          <w:rFonts w:ascii="Bookman Old Style" w:eastAsia="Times New Roman" w:hAnsi="Bookman Old Style" w:cs="Arial"/>
          <w:color w:val="222222"/>
          <w:lang w:eastAsia="en-IN"/>
        </w:rPr>
        <w:t>DDIT(Inv), Mumbai who had conducted the search &amp; Seizure action on this group</w:t>
      </w:r>
      <w:r w:rsidR="00F214D4" w:rsidRPr="001734DE">
        <w:rPr>
          <w:rFonts w:ascii="Bookman Old Style" w:eastAsia="Times New Roman" w:hAnsi="Bookman Old Style" w:cs="Arial"/>
          <w:color w:val="222222"/>
          <w:lang w:eastAsia="en-IN"/>
        </w:rPr>
        <w:t xml:space="preserve"> and prepared the Appraisal report after carrying out the Investigation</w:t>
      </w:r>
      <w:r w:rsidR="002179B8" w:rsidRPr="001734DE">
        <w:rPr>
          <w:rFonts w:ascii="Bookman Old Style" w:eastAsia="Times New Roman" w:hAnsi="Bookman Old Style" w:cs="Arial"/>
          <w:color w:val="222222"/>
          <w:lang w:eastAsia="en-IN"/>
        </w:rPr>
        <w:t xml:space="preserve">. The Charges levelled against them are that </w:t>
      </w:r>
      <w:r w:rsidR="00F978DF" w:rsidRPr="001734DE">
        <w:rPr>
          <w:rFonts w:ascii="Bookman Old Style" w:eastAsia="Times New Roman" w:hAnsi="Bookman Old Style" w:cs="Arial"/>
          <w:color w:val="222222"/>
          <w:lang w:eastAsia="en-IN"/>
        </w:rPr>
        <w:t xml:space="preserve">in the Appraisal Report they have given a </w:t>
      </w:r>
      <w:proofErr w:type="gramStart"/>
      <w:r w:rsidR="00F978DF" w:rsidRPr="001734DE">
        <w:rPr>
          <w:rFonts w:ascii="Bookman Old Style" w:eastAsia="Times New Roman" w:hAnsi="Bookman Old Style" w:cs="Arial"/>
          <w:color w:val="222222"/>
          <w:lang w:eastAsia="en-IN"/>
        </w:rPr>
        <w:t>very</w:t>
      </w:r>
      <w:proofErr w:type="gramEnd"/>
      <w:r w:rsidR="00F978DF" w:rsidRPr="001734DE">
        <w:rPr>
          <w:rFonts w:ascii="Bookman Old Style" w:eastAsia="Times New Roman" w:hAnsi="Bookman Old Style" w:cs="Arial"/>
          <w:color w:val="222222"/>
          <w:lang w:eastAsia="en-IN"/>
        </w:rPr>
        <w:t xml:space="preserve"> generalized description/analyses of the data contained in the seized/impounded computer back up and failed to critically analyze the s</w:t>
      </w:r>
      <w:r w:rsidR="00CA7BBE" w:rsidRPr="001734DE">
        <w:rPr>
          <w:rFonts w:ascii="Bookman Old Style" w:eastAsia="Times New Roman" w:hAnsi="Bookman Old Style" w:cs="Arial"/>
          <w:color w:val="222222"/>
          <w:lang w:eastAsia="en-IN"/>
        </w:rPr>
        <w:t>e</w:t>
      </w:r>
      <w:r w:rsidR="00F978DF" w:rsidRPr="001734DE">
        <w:rPr>
          <w:rFonts w:ascii="Bookman Old Style" w:eastAsia="Times New Roman" w:hAnsi="Bookman Old Style" w:cs="Arial"/>
          <w:color w:val="222222"/>
          <w:lang w:eastAsia="en-IN"/>
        </w:rPr>
        <w:t xml:space="preserve">ized </w:t>
      </w:r>
      <w:r w:rsidR="00CA7BBE" w:rsidRPr="001734DE">
        <w:rPr>
          <w:rFonts w:ascii="Bookman Old Style" w:eastAsia="Times New Roman" w:hAnsi="Bookman Old Style" w:cs="Arial"/>
          <w:color w:val="222222"/>
          <w:lang w:eastAsia="en-IN"/>
        </w:rPr>
        <w:t xml:space="preserve">data and also </w:t>
      </w:r>
      <w:r w:rsidR="00CA7BBE" w:rsidRPr="001734DE">
        <w:rPr>
          <w:rFonts w:ascii="Bookman Old Style" w:eastAsia="Times New Roman" w:hAnsi="Bookman Old Style" w:cs="Arial"/>
          <w:b/>
          <w:bCs/>
          <w:color w:val="222222"/>
          <w:lang w:eastAsia="en-IN"/>
        </w:rPr>
        <w:t>failed to give concrete suggestions in the Appraisal Report.</w:t>
      </w:r>
      <w:r w:rsidR="00771981">
        <w:rPr>
          <w:rFonts w:ascii="Bookman Old Style" w:eastAsia="Times New Roman" w:hAnsi="Bookman Old Style" w:cs="Arial"/>
          <w:b/>
          <w:bCs/>
          <w:color w:val="222222"/>
          <w:lang w:eastAsia="en-IN"/>
        </w:rPr>
        <w:t xml:space="preserve"> </w:t>
      </w:r>
      <w:r w:rsidR="00713D31" w:rsidRPr="001734DE">
        <w:rPr>
          <w:rFonts w:ascii="Bookman Old Style" w:eastAsia="Times New Roman" w:hAnsi="Bookman Old Style" w:cs="Arial"/>
          <w:color w:val="222222"/>
          <w:lang w:eastAsia="en-IN"/>
        </w:rPr>
        <w:t xml:space="preserve">Thus, charges levelled against </w:t>
      </w:r>
      <w:proofErr w:type="spellStart"/>
      <w:r w:rsidR="00B86DA7" w:rsidRPr="001734DE">
        <w:rPr>
          <w:rFonts w:ascii="Bookman Old Style" w:eastAsia="Times New Roman" w:hAnsi="Bookman Old Style" w:cs="Arial"/>
          <w:color w:val="222222"/>
          <w:lang w:eastAsia="en-IN"/>
        </w:rPr>
        <w:t>Addl</w:t>
      </w:r>
      <w:proofErr w:type="spellEnd"/>
      <w:r w:rsidR="00B86DA7" w:rsidRPr="001734DE">
        <w:rPr>
          <w:rFonts w:ascii="Bookman Old Style" w:eastAsia="Times New Roman" w:hAnsi="Bookman Old Style" w:cs="Arial"/>
          <w:color w:val="222222"/>
          <w:lang w:eastAsia="en-IN"/>
        </w:rPr>
        <w:t xml:space="preserve"> DIT (Inv) &amp; DDIT (Inv) </w:t>
      </w:r>
      <w:r w:rsidR="00CA7BBE" w:rsidRPr="001734DE">
        <w:rPr>
          <w:rFonts w:ascii="Bookman Old Style" w:eastAsia="Times New Roman" w:hAnsi="Bookman Old Style" w:cs="Arial"/>
          <w:color w:val="222222"/>
          <w:lang w:eastAsia="en-IN"/>
        </w:rPr>
        <w:t xml:space="preserve">are quite contrary to charges levelled against me where in it is stated that </w:t>
      </w:r>
      <w:r w:rsidR="00B86DA7" w:rsidRPr="001734DE">
        <w:rPr>
          <w:rFonts w:ascii="Bookman Old Style" w:eastAsia="Times New Roman" w:hAnsi="Bookman Old Style" w:cs="Arial"/>
          <w:color w:val="222222"/>
          <w:lang w:eastAsia="en-IN"/>
        </w:rPr>
        <w:t xml:space="preserve">the </w:t>
      </w:r>
      <w:r w:rsidR="00B86DA7" w:rsidRPr="001734DE">
        <w:rPr>
          <w:rFonts w:ascii="Bookman Old Style" w:hAnsi="Bookman Old Style"/>
        </w:rPr>
        <w:t xml:space="preserve">findings/conclusions drawn in the Appraisal Report were conclusive and indicative and the AO has not acted upon it accordingly. </w:t>
      </w:r>
      <w:r w:rsidR="00C66286" w:rsidRPr="001734DE">
        <w:rPr>
          <w:rFonts w:ascii="Bookman Old Style" w:hAnsi="Bookman Old Style"/>
        </w:rPr>
        <w:t xml:space="preserve">Thus, Charge sheet has been issued to me without correct appreciation facts available on record. Therefore, </w:t>
      </w:r>
      <w:r w:rsidRPr="001734DE">
        <w:rPr>
          <w:rFonts w:ascii="Bookman Old Style" w:eastAsia="Times New Roman" w:hAnsi="Bookman Old Style" w:cs="Arial"/>
          <w:color w:val="222222"/>
          <w:lang w:eastAsia="en-IN"/>
        </w:rPr>
        <w:t xml:space="preserve">no proceedings </w:t>
      </w:r>
      <w:proofErr w:type="gramStart"/>
      <w:r w:rsidRPr="001734DE">
        <w:rPr>
          <w:rFonts w:ascii="Bookman Old Style" w:eastAsia="Times New Roman" w:hAnsi="Bookman Old Style" w:cs="Arial"/>
          <w:color w:val="222222"/>
          <w:lang w:eastAsia="en-IN"/>
        </w:rPr>
        <w:t>be</w:t>
      </w:r>
      <w:proofErr w:type="gramEnd"/>
      <w:r w:rsidRPr="001734DE">
        <w:rPr>
          <w:rFonts w:ascii="Bookman Old Style" w:eastAsia="Times New Roman" w:hAnsi="Bookman Old Style" w:cs="Arial"/>
          <w:color w:val="222222"/>
          <w:lang w:eastAsia="en-IN"/>
        </w:rPr>
        <w:t xml:space="preserve"> initiated </w:t>
      </w:r>
      <w:r w:rsidR="00B86DA7" w:rsidRPr="001734DE">
        <w:rPr>
          <w:rFonts w:ascii="Bookman Old Style" w:eastAsia="Times New Roman" w:hAnsi="Bookman Old Style" w:cs="Arial"/>
          <w:color w:val="222222"/>
          <w:lang w:eastAsia="en-IN"/>
        </w:rPr>
        <w:t xml:space="preserve">against me </w:t>
      </w:r>
      <w:r w:rsidRPr="001734DE">
        <w:rPr>
          <w:rFonts w:ascii="Bookman Old Style" w:eastAsia="Times New Roman" w:hAnsi="Bookman Old Style" w:cs="Arial"/>
          <w:color w:val="222222"/>
          <w:lang w:eastAsia="en-IN"/>
        </w:rPr>
        <w:t xml:space="preserve">till charges are proved against </w:t>
      </w:r>
      <w:proofErr w:type="spellStart"/>
      <w:r w:rsidR="0016731E" w:rsidRPr="001734DE">
        <w:rPr>
          <w:rFonts w:ascii="Bookman Old Style" w:eastAsia="Times New Roman" w:hAnsi="Bookman Old Style" w:cs="Arial"/>
          <w:color w:val="222222"/>
          <w:lang w:eastAsia="en-IN"/>
        </w:rPr>
        <w:t>Addl</w:t>
      </w:r>
      <w:proofErr w:type="spellEnd"/>
      <w:r w:rsidR="0016731E" w:rsidRPr="001734DE">
        <w:rPr>
          <w:rFonts w:ascii="Bookman Old Style" w:eastAsia="Times New Roman" w:hAnsi="Bookman Old Style" w:cs="Arial"/>
          <w:color w:val="222222"/>
          <w:lang w:eastAsia="en-IN"/>
        </w:rPr>
        <w:t xml:space="preserve"> </w:t>
      </w:r>
      <w:r w:rsidR="00771981">
        <w:rPr>
          <w:rFonts w:ascii="Bookman Old Style" w:eastAsia="Times New Roman" w:hAnsi="Bookman Old Style" w:cs="Arial"/>
          <w:color w:val="222222"/>
          <w:lang w:eastAsia="en-IN"/>
        </w:rPr>
        <w:t>D</w:t>
      </w:r>
      <w:r w:rsidR="0016731E" w:rsidRPr="001734DE">
        <w:rPr>
          <w:rFonts w:ascii="Bookman Old Style" w:eastAsia="Times New Roman" w:hAnsi="Bookman Old Style" w:cs="Arial"/>
          <w:color w:val="222222"/>
          <w:lang w:eastAsia="en-IN"/>
        </w:rPr>
        <w:t xml:space="preserve">IT (Inv) &amp; DDIT (Inv). </w:t>
      </w:r>
    </w:p>
    <w:p w:rsidR="0016731E" w:rsidRPr="009D4F47" w:rsidRDefault="0016731E" w:rsidP="00BF5E3B">
      <w:pPr>
        <w:pStyle w:val="ListParagraph"/>
        <w:ind w:hanging="426"/>
        <w:rPr>
          <w:rFonts w:ascii="Bookman Old Style" w:eastAsia="Times New Roman" w:hAnsi="Bookman Old Style" w:cs="Arial"/>
          <w:color w:val="222222"/>
          <w:lang w:eastAsia="en-IN"/>
        </w:rPr>
      </w:pPr>
    </w:p>
    <w:p w:rsidR="0016731E" w:rsidRPr="009D4F47" w:rsidRDefault="00BF5E3B"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sidRPr="009D4F47">
        <w:rPr>
          <w:rFonts w:ascii="Bookman Old Style" w:eastAsia="Times New Roman" w:hAnsi="Bookman Old Style" w:cs="Arial"/>
          <w:color w:val="222222"/>
          <w:lang w:eastAsia="en-IN"/>
        </w:rPr>
        <w:t xml:space="preserve">In spite of very negligible time period of 59 days made available to me to complete the assessment, all the issues emanating from the Appraisal Report as well as from the seized / impounded documents have been discussed with the then Addl. CIT, CR-2, Mumbai almost on day-to-day basis before finalizing the assessments. Further, discussion on each such issues was also done by the </w:t>
      </w:r>
      <w:proofErr w:type="spellStart"/>
      <w:r w:rsidRPr="009D4F47">
        <w:rPr>
          <w:rFonts w:ascii="Bookman Old Style" w:eastAsia="Times New Roman" w:hAnsi="Bookman Old Style" w:cs="Arial"/>
          <w:color w:val="222222"/>
          <w:lang w:eastAsia="en-IN"/>
        </w:rPr>
        <w:t>Addl</w:t>
      </w:r>
      <w:proofErr w:type="spellEnd"/>
      <w:r w:rsidRPr="009D4F47">
        <w:rPr>
          <w:rFonts w:ascii="Bookman Old Style" w:eastAsia="Times New Roman" w:hAnsi="Bookman Old Style" w:cs="Arial"/>
          <w:color w:val="222222"/>
          <w:lang w:eastAsia="en-IN"/>
        </w:rPr>
        <w:t xml:space="preserve"> CIT with the Pr. CIT (Central)-1, Mumbai and the CCIT (Central), Mumbai from time to time apprising them of the progress made on various issues and line of action being taken thereupon. The Assessment Order in respect of entire group cases was passed after obtaining necessary approval of the </w:t>
      </w:r>
      <w:proofErr w:type="spellStart"/>
      <w:r w:rsidRPr="009D4F47">
        <w:rPr>
          <w:rFonts w:ascii="Bookman Old Style" w:eastAsia="Times New Roman" w:hAnsi="Bookman Old Style" w:cs="Arial"/>
          <w:color w:val="222222"/>
          <w:lang w:eastAsia="en-IN"/>
        </w:rPr>
        <w:t>Addl</w:t>
      </w:r>
      <w:proofErr w:type="spellEnd"/>
      <w:r w:rsidRPr="009D4F47">
        <w:rPr>
          <w:rFonts w:ascii="Bookman Old Style" w:eastAsia="Times New Roman" w:hAnsi="Bookman Old Style" w:cs="Arial"/>
          <w:color w:val="222222"/>
          <w:lang w:eastAsia="en-IN"/>
        </w:rPr>
        <w:t xml:space="preserve"> CIT CR-2, Mumbai.</w:t>
      </w:r>
    </w:p>
    <w:p w:rsidR="00BF5E3B" w:rsidRPr="009D4F47" w:rsidRDefault="00BF5E3B" w:rsidP="00BF5E3B">
      <w:pPr>
        <w:pStyle w:val="ListParagraph"/>
        <w:rPr>
          <w:rFonts w:ascii="Bookman Old Style" w:eastAsia="Times New Roman" w:hAnsi="Bookman Old Style" w:cs="Arial"/>
          <w:color w:val="222222"/>
          <w:lang w:eastAsia="en-IN"/>
        </w:rPr>
      </w:pPr>
    </w:p>
    <w:p w:rsidR="00BF5E3B" w:rsidRDefault="00BF5E3B"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sidRPr="009D4F47">
        <w:rPr>
          <w:rFonts w:ascii="Bookman Old Style" w:eastAsia="Times New Roman" w:hAnsi="Bookman Old Style" w:cs="Arial"/>
          <w:color w:val="222222"/>
          <w:lang w:eastAsia="en-IN"/>
        </w:rPr>
        <w:t xml:space="preserve">The search action in this case was conducted on 28-06-2011 and the scrutiny assessments were completed on 31-03-2014 i.e. 33 months after the search. However, out of the 33 months, the jurisdiction of this case was with me for just last 2 months only to carry out the necessary investigations and to complete the assessments. No investigation was done by my predecessors-in-office during the entire period of 27 months they were seized with this case and first reply of the assessee in response </w:t>
      </w:r>
      <w:r w:rsidRPr="009D4F47">
        <w:rPr>
          <w:rFonts w:ascii="Bookman Old Style" w:eastAsia="Times New Roman" w:hAnsi="Bookman Old Style" w:cs="Arial"/>
          <w:color w:val="222222"/>
          <w:lang w:eastAsia="en-IN"/>
        </w:rPr>
        <w:lastRenderedPageBreak/>
        <w:t xml:space="preserve">to Notice u/s 142(1) was received in September, 2013. Thereafter, some notices u/s 142(1) and 133(6) were issued without any concrete progress in the case. The real work of investigation was started only after the case was transferred to me at the end of January, 2014. This group of cases were transferred to </w:t>
      </w:r>
      <w:r w:rsidR="009D4F47" w:rsidRPr="009D4F47">
        <w:rPr>
          <w:rFonts w:ascii="Bookman Old Style" w:eastAsia="Times New Roman" w:hAnsi="Bookman Old Style" w:cs="Arial"/>
          <w:color w:val="222222"/>
          <w:lang w:eastAsia="en-IN"/>
        </w:rPr>
        <w:t xml:space="preserve">my Charge, </w:t>
      </w:r>
      <w:r w:rsidRPr="009D4F47">
        <w:rPr>
          <w:rFonts w:ascii="Bookman Old Style" w:eastAsia="Times New Roman" w:hAnsi="Bookman Old Style" w:cs="Arial"/>
          <w:color w:val="222222"/>
          <w:lang w:eastAsia="en-IN"/>
        </w:rPr>
        <w:t xml:space="preserve">as it was found in the Review Meeting by the Member (Investigation), CBDT in January 2014, that there was not much progress made in the assessments even after a period of 2 years and 3 months after it was centralized in Central Circle-11 under Central Range-3, Mumbai. When it was handed over </w:t>
      </w:r>
      <w:r w:rsidR="00B86DA7">
        <w:rPr>
          <w:rFonts w:ascii="Bookman Old Style" w:eastAsia="Times New Roman" w:hAnsi="Bookman Old Style" w:cs="Arial"/>
          <w:color w:val="222222"/>
          <w:lang w:eastAsia="en-IN"/>
        </w:rPr>
        <w:t xml:space="preserve">to me </w:t>
      </w:r>
      <w:r w:rsidRPr="009D4F47">
        <w:rPr>
          <w:rFonts w:ascii="Bookman Old Style" w:eastAsia="Times New Roman" w:hAnsi="Bookman Old Style" w:cs="Arial"/>
          <w:color w:val="222222"/>
          <w:lang w:eastAsia="en-IN"/>
        </w:rPr>
        <w:t xml:space="preserve">by the end of January 2014, there were no specific notes handed over on the status of the case, on the enquiries conducted or pending, the outcome of it, if any, the quantification of any additions proposed to be made or the possible line of action for scrutinizing the group of cases. </w:t>
      </w:r>
      <w:r w:rsidR="009D4F47" w:rsidRPr="009D4F47">
        <w:rPr>
          <w:rFonts w:ascii="Bookman Old Style" w:eastAsia="Times New Roman" w:hAnsi="Bookman Old Style" w:cs="Arial"/>
          <w:color w:val="222222"/>
          <w:lang w:eastAsia="en-IN"/>
        </w:rPr>
        <w:t xml:space="preserve">Despite such clear </w:t>
      </w:r>
      <w:r w:rsidR="00B86DA7">
        <w:rPr>
          <w:rFonts w:ascii="Bookman Old Style" w:eastAsia="Times New Roman" w:hAnsi="Bookman Old Style" w:cs="Arial"/>
          <w:color w:val="222222"/>
          <w:lang w:eastAsia="en-IN"/>
        </w:rPr>
        <w:t>c</w:t>
      </w:r>
      <w:r w:rsidR="009D4F47" w:rsidRPr="009D4F47">
        <w:rPr>
          <w:rFonts w:ascii="Bookman Old Style" w:eastAsia="Times New Roman" w:hAnsi="Bookman Old Style" w:cs="Arial"/>
          <w:color w:val="222222"/>
          <w:lang w:eastAsia="en-IN"/>
        </w:rPr>
        <w:t>ut lapses and negligence, no Charge Sheet has been given to my predecessors who had held the charge over this case for 27 months</w:t>
      </w:r>
      <w:r w:rsidR="00B86DA7">
        <w:rPr>
          <w:rFonts w:ascii="Bookman Old Style" w:eastAsia="Times New Roman" w:hAnsi="Bookman Old Style" w:cs="Arial"/>
          <w:color w:val="222222"/>
          <w:lang w:eastAsia="en-IN"/>
        </w:rPr>
        <w:t xml:space="preserve"> and the vigilance matter in their case has been closed as per CVCs letter dated 28,12,2020 on recommendation of CBDT made vide letter dated 06.11.2020</w:t>
      </w:r>
      <w:r w:rsidR="009D4F47" w:rsidRPr="009D4F47">
        <w:rPr>
          <w:rFonts w:ascii="Bookman Old Style" w:eastAsia="Times New Roman" w:hAnsi="Bookman Old Style" w:cs="Arial"/>
          <w:color w:val="222222"/>
          <w:lang w:eastAsia="en-IN"/>
        </w:rPr>
        <w:t>.</w:t>
      </w:r>
    </w:p>
    <w:p w:rsidR="00B86DA7" w:rsidRDefault="00B86DA7" w:rsidP="00B86DA7">
      <w:pPr>
        <w:pStyle w:val="ListParagraph"/>
        <w:shd w:val="clear" w:color="auto" w:fill="FFFFFF"/>
        <w:spacing w:before="120" w:after="0" w:line="276" w:lineRule="auto"/>
        <w:ind w:left="993"/>
        <w:jc w:val="both"/>
        <w:rPr>
          <w:rFonts w:ascii="Bookman Old Style" w:eastAsia="Times New Roman" w:hAnsi="Bookman Old Style" w:cs="Arial"/>
          <w:color w:val="222222"/>
          <w:lang w:eastAsia="en-IN"/>
        </w:rPr>
      </w:pPr>
    </w:p>
    <w:p w:rsidR="00B86DA7" w:rsidRPr="00A51909" w:rsidRDefault="00B86DA7"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Pr>
          <w:rFonts w:ascii="Bookman Old Style" w:hAnsi="Bookman Old Style"/>
        </w:rPr>
        <w:t xml:space="preserve">The entire group case was subjected to Revenue Audit by CAG and no adverse finding or objection has been raised by </w:t>
      </w:r>
      <w:r w:rsidR="00C66286">
        <w:rPr>
          <w:rFonts w:ascii="Bookman Old Style" w:hAnsi="Bookman Old Style"/>
        </w:rPr>
        <w:t xml:space="preserve">it </w:t>
      </w:r>
      <w:r>
        <w:rPr>
          <w:rFonts w:ascii="Bookman Old Style" w:hAnsi="Bookman Old Style"/>
        </w:rPr>
        <w:t>in this case.</w:t>
      </w:r>
    </w:p>
    <w:p w:rsidR="00A51909" w:rsidRPr="00A51909" w:rsidRDefault="00A51909" w:rsidP="00A51909">
      <w:pPr>
        <w:pStyle w:val="ListParagraph"/>
        <w:rPr>
          <w:rFonts w:ascii="Bookman Old Style" w:eastAsia="Times New Roman" w:hAnsi="Bookman Old Style" w:cs="Arial"/>
          <w:color w:val="222222"/>
          <w:lang w:eastAsia="en-IN"/>
        </w:rPr>
      </w:pPr>
    </w:p>
    <w:p w:rsidR="00A51909" w:rsidRPr="00A51909" w:rsidRDefault="00A51909" w:rsidP="00BF5E3B">
      <w:pPr>
        <w:pStyle w:val="ListParagraph"/>
        <w:numPr>
          <w:ilvl w:val="0"/>
          <w:numId w:val="9"/>
        </w:numPr>
        <w:shd w:val="clear" w:color="auto" w:fill="FFFFFF"/>
        <w:spacing w:before="120" w:after="0" w:line="276" w:lineRule="auto"/>
        <w:ind w:left="993" w:hanging="426"/>
        <w:jc w:val="both"/>
        <w:rPr>
          <w:rFonts w:ascii="Bookman Old Style" w:eastAsia="Times New Roman" w:hAnsi="Bookman Old Style" w:cs="Arial"/>
          <w:color w:val="222222"/>
          <w:lang w:eastAsia="en-IN"/>
        </w:rPr>
      </w:pPr>
      <w:r w:rsidRPr="009D4F47">
        <w:rPr>
          <w:rFonts w:ascii="Bookman Old Style" w:eastAsia="Times New Roman" w:hAnsi="Bookman Old Style" w:cs="Arial"/>
          <w:color w:val="222222"/>
          <w:lang w:eastAsia="en-IN"/>
        </w:rPr>
        <w:t>Complete record required for Inspection copies of documents as per Annexure III to memo is still not provided to me.</w:t>
      </w:r>
    </w:p>
    <w:p w:rsidR="00A51909" w:rsidRPr="00A51909" w:rsidRDefault="00A51909" w:rsidP="00A51909">
      <w:pPr>
        <w:pStyle w:val="ListParagraph"/>
        <w:rPr>
          <w:rFonts w:ascii="Bookman Old Style" w:eastAsia="Times New Roman" w:hAnsi="Bookman Old Style" w:cs="Arial"/>
          <w:color w:val="222222"/>
          <w:lang w:eastAsia="en-IN"/>
        </w:rPr>
      </w:pPr>
    </w:p>
    <w:p w:rsidR="00C738BA" w:rsidRPr="009D4F47" w:rsidRDefault="00C738BA" w:rsidP="00A51909">
      <w:pPr>
        <w:pStyle w:val="ListParagraph"/>
        <w:shd w:val="clear" w:color="auto" w:fill="FFFFFF"/>
        <w:spacing w:before="120" w:after="0" w:line="276" w:lineRule="auto"/>
        <w:jc w:val="both"/>
        <w:rPr>
          <w:rFonts w:ascii="Bookman Old Style" w:eastAsia="Times New Roman" w:hAnsi="Bookman Old Style" w:cs="Arial"/>
          <w:color w:val="222222"/>
          <w:lang w:eastAsia="en-IN"/>
        </w:rPr>
      </w:pPr>
    </w:p>
    <w:tbl>
      <w:tblPr>
        <w:tblW w:w="0" w:type="auto"/>
        <w:tblCellMar>
          <w:top w:w="15" w:type="dxa"/>
          <w:left w:w="15" w:type="dxa"/>
          <w:bottom w:w="15" w:type="dxa"/>
          <w:right w:w="15" w:type="dxa"/>
        </w:tblCellMar>
        <w:tblLook w:val="04A0"/>
      </w:tblPr>
      <w:tblGrid>
        <w:gridCol w:w="535"/>
        <w:gridCol w:w="4253"/>
        <w:gridCol w:w="4238"/>
      </w:tblGrid>
      <w:tr w:rsidR="00BF5E3B" w:rsidRPr="009D4F47" w:rsidTr="00BF5E3B">
        <w:tc>
          <w:tcPr>
            <w:tcW w:w="535" w:type="dxa"/>
            <w:tcMar>
              <w:top w:w="0" w:type="dxa"/>
              <w:left w:w="240" w:type="dxa"/>
              <w:bottom w:w="0" w:type="dxa"/>
              <w:right w:w="240" w:type="dxa"/>
            </w:tcMar>
          </w:tcPr>
          <w:p w:rsidR="00BF5E3B" w:rsidRPr="009D4F47" w:rsidRDefault="00BF5E3B" w:rsidP="009B028F">
            <w:pPr>
              <w:spacing w:after="0" w:line="240" w:lineRule="auto"/>
              <w:ind w:left="993" w:hanging="284"/>
              <w:jc w:val="both"/>
              <w:rPr>
                <w:rFonts w:ascii="Bookman Old Style" w:eastAsia="Times New Roman" w:hAnsi="Bookman Old Style" w:cs="Arial"/>
                <w:color w:val="222222"/>
                <w:lang w:eastAsia="en-IN"/>
              </w:rPr>
            </w:pPr>
          </w:p>
        </w:tc>
        <w:tc>
          <w:tcPr>
            <w:tcW w:w="4253" w:type="dxa"/>
          </w:tcPr>
          <w:p w:rsidR="00BF5E3B" w:rsidRPr="009D4F47" w:rsidRDefault="00BF5E3B" w:rsidP="009B028F">
            <w:pPr>
              <w:shd w:val="clear" w:color="auto" w:fill="FFFFFF"/>
              <w:spacing w:after="0" w:line="300" w:lineRule="atLeast"/>
              <w:ind w:left="993" w:hanging="284"/>
              <w:jc w:val="both"/>
              <w:rPr>
                <w:rFonts w:ascii="Bookman Old Style" w:eastAsia="Times New Roman" w:hAnsi="Bookman Old Style" w:cs="Arial"/>
                <w:color w:val="222222"/>
                <w:lang w:eastAsia="en-IN"/>
              </w:rPr>
            </w:pPr>
          </w:p>
        </w:tc>
        <w:tc>
          <w:tcPr>
            <w:tcW w:w="4238" w:type="dxa"/>
            <w:tcMar>
              <w:top w:w="0" w:type="dxa"/>
              <w:left w:w="0" w:type="dxa"/>
              <w:bottom w:w="0" w:type="dxa"/>
              <w:right w:w="0" w:type="dxa"/>
            </w:tcMar>
            <w:vAlign w:val="center"/>
          </w:tcPr>
          <w:p w:rsidR="00BF5E3B" w:rsidRPr="009D4F47" w:rsidRDefault="00BF5E3B" w:rsidP="009B028F">
            <w:pPr>
              <w:shd w:val="clear" w:color="auto" w:fill="FFFFFF"/>
              <w:spacing w:after="0" w:line="300" w:lineRule="atLeast"/>
              <w:ind w:left="993" w:hanging="284"/>
              <w:jc w:val="both"/>
              <w:rPr>
                <w:rFonts w:ascii="Bookman Old Style" w:eastAsia="Times New Roman" w:hAnsi="Bookman Old Style" w:cs="Arial"/>
                <w:color w:val="222222"/>
                <w:lang w:eastAsia="en-IN"/>
              </w:rPr>
            </w:pPr>
          </w:p>
        </w:tc>
      </w:tr>
    </w:tbl>
    <w:p w:rsidR="00136F2C" w:rsidRPr="009D4F47" w:rsidRDefault="00136F2C" w:rsidP="009B028F">
      <w:pPr>
        <w:tabs>
          <w:tab w:val="left" w:pos="3350"/>
        </w:tabs>
        <w:ind w:left="993" w:hanging="284"/>
        <w:jc w:val="both"/>
        <w:rPr>
          <w:rFonts w:ascii="Bookman Old Style" w:eastAsia="Times New Roman" w:hAnsi="Bookman Old Style" w:cs="Arial"/>
          <w:color w:val="222222"/>
          <w:lang w:eastAsia="en-IN"/>
        </w:rPr>
      </w:pPr>
      <w:r w:rsidRPr="009D4F47">
        <w:rPr>
          <w:rFonts w:ascii="Bookman Old Style" w:eastAsia="Times New Roman" w:hAnsi="Bookman Old Style" w:cs="Arial"/>
          <w:color w:val="222222"/>
          <w:lang w:eastAsia="en-IN"/>
        </w:rPr>
        <w:tab/>
      </w:r>
    </w:p>
    <w:sectPr w:rsidR="00136F2C" w:rsidRPr="009D4F47" w:rsidSect="003A6A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91C"/>
    <w:multiLevelType w:val="hybridMultilevel"/>
    <w:tmpl w:val="89A4D622"/>
    <w:lvl w:ilvl="0" w:tplc="5344E76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C977742"/>
    <w:multiLevelType w:val="hybridMultilevel"/>
    <w:tmpl w:val="04A80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E5BA0"/>
    <w:multiLevelType w:val="hybridMultilevel"/>
    <w:tmpl w:val="C674CA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18F15E2"/>
    <w:multiLevelType w:val="hybridMultilevel"/>
    <w:tmpl w:val="ED0EB7F2"/>
    <w:lvl w:ilvl="0" w:tplc="4009000F">
      <w:start w:val="1"/>
      <w:numFmt w:val="decimal"/>
      <w:lvlText w:val="%1."/>
      <w:lvlJc w:val="left"/>
      <w:pPr>
        <w:ind w:left="1440" w:hanging="360"/>
      </w:pPr>
    </w:lvl>
    <w:lvl w:ilvl="1" w:tplc="2CB6A956">
      <w:start w:val="1"/>
      <w:numFmt w:val="lowerLetter"/>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52F95B7D"/>
    <w:multiLevelType w:val="hybridMultilevel"/>
    <w:tmpl w:val="5B7643AA"/>
    <w:lvl w:ilvl="0" w:tplc="56A6B20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610B338B"/>
    <w:multiLevelType w:val="hybridMultilevel"/>
    <w:tmpl w:val="0DD2B79C"/>
    <w:lvl w:ilvl="0" w:tplc="C11A8F66">
      <w:start w:val="1"/>
      <w:numFmt w:val="upperLetter"/>
      <w:lvlText w:val="%1."/>
      <w:lvlJc w:val="left"/>
      <w:pPr>
        <w:ind w:left="720" w:hanging="360"/>
      </w:pPr>
      <w:rPr>
        <w:rFonts w:asciiTheme="minorHAnsi" w:eastAsiaTheme="minorHAnsi" w:hAnsiTheme="minorHAnsi" w:cstheme="minorBidi"/>
      </w:rPr>
    </w:lvl>
    <w:lvl w:ilvl="1" w:tplc="81A86C52">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F2E1A39"/>
    <w:multiLevelType w:val="hybridMultilevel"/>
    <w:tmpl w:val="5F968774"/>
    <w:lvl w:ilvl="0" w:tplc="04090017">
      <w:start w:val="1"/>
      <w:numFmt w:val="lowerLetter"/>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7">
    <w:nsid w:val="7A321A02"/>
    <w:multiLevelType w:val="hybridMultilevel"/>
    <w:tmpl w:val="6636A836"/>
    <w:lvl w:ilvl="0" w:tplc="56CE7A12">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AB722AD"/>
    <w:multiLevelType w:val="hybridMultilevel"/>
    <w:tmpl w:val="AB00B4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F775C23"/>
    <w:multiLevelType w:val="hybridMultilevel"/>
    <w:tmpl w:val="58A89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9"/>
  </w:num>
  <w:num w:numId="6">
    <w:abstractNumId w:val="0"/>
  </w:num>
  <w:num w:numId="7">
    <w:abstractNumId w:val="1"/>
  </w:num>
  <w:num w:numId="8">
    <w:abstractNumId w:val="8"/>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D3C34"/>
    <w:rsid w:val="000A66B5"/>
    <w:rsid w:val="00136F2C"/>
    <w:rsid w:val="0016731E"/>
    <w:rsid w:val="001734DE"/>
    <w:rsid w:val="001A3A9F"/>
    <w:rsid w:val="002179B8"/>
    <w:rsid w:val="002F5AAD"/>
    <w:rsid w:val="00376981"/>
    <w:rsid w:val="003A6AEF"/>
    <w:rsid w:val="005D3C34"/>
    <w:rsid w:val="006D2E6C"/>
    <w:rsid w:val="00703E40"/>
    <w:rsid w:val="00713D31"/>
    <w:rsid w:val="00741790"/>
    <w:rsid w:val="00742FFB"/>
    <w:rsid w:val="00771981"/>
    <w:rsid w:val="009B028F"/>
    <w:rsid w:val="009D4F47"/>
    <w:rsid w:val="009E5F2D"/>
    <w:rsid w:val="00A51909"/>
    <w:rsid w:val="00A84368"/>
    <w:rsid w:val="00B77FFE"/>
    <w:rsid w:val="00B86DA7"/>
    <w:rsid w:val="00BF5E3B"/>
    <w:rsid w:val="00BF792C"/>
    <w:rsid w:val="00C1230F"/>
    <w:rsid w:val="00C66286"/>
    <w:rsid w:val="00C738BA"/>
    <w:rsid w:val="00CA44C7"/>
    <w:rsid w:val="00CA7BBE"/>
    <w:rsid w:val="00CF616E"/>
    <w:rsid w:val="00D27DAB"/>
    <w:rsid w:val="00F214D4"/>
    <w:rsid w:val="00F8240A"/>
    <w:rsid w:val="00F978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6981"/>
    <w:pPr>
      <w:ind w:left="720"/>
      <w:contextualSpacing/>
    </w:pPr>
  </w:style>
  <w:style w:type="character" w:customStyle="1" w:styleId="ListParagraphChar">
    <w:name w:val="List Paragraph Char"/>
    <w:link w:val="ListParagraph"/>
    <w:uiPriority w:val="34"/>
    <w:locked/>
    <w:rsid w:val="00376981"/>
  </w:style>
  <w:style w:type="character" w:customStyle="1" w:styleId="ams">
    <w:name w:val="ams"/>
    <w:basedOn w:val="DefaultParagraphFont"/>
    <w:rsid w:val="00C738BA"/>
  </w:style>
</w:styles>
</file>

<file path=word/webSettings.xml><?xml version="1.0" encoding="utf-8"?>
<w:webSettings xmlns:r="http://schemas.openxmlformats.org/officeDocument/2006/relationships" xmlns:w="http://schemas.openxmlformats.org/wordprocessingml/2006/main">
  <w:divs>
    <w:div w:id="280770501">
      <w:bodyDiv w:val="1"/>
      <w:marLeft w:val="0"/>
      <w:marRight w:val="0"/>
      <w:marTop w:val="0"/>
      <w:marBottom w:val="0"/>
      <w:divBdr>
        <w:top w:val="none" w:sz="0" w:space="0" w:color="auto"/>
        <w:left w:val="none" w:sz="0" w:space="0" w:color="auto"/>
        <w:bottom w:val="none" w:sz="0" w:space="0" w:color="auto"/>
        <w:right w:val="none" w:sz="0" w:space="0" w:color="auto"/>
      </w:divBdr>
      <w:divsChild>
        <w:div w:id="1618834994">
          <w:marLeft w:val="0"/>
          <w:marRight w:val="0"/>
          <w:marTop w:val="0"/>
          <w:marBottom w:val="0"/>
          <w:divBdr>
            <w:top w:val="none" w:sz="0" w:space="0" w:color="auto"/>
            <w:left w:val="none" w:sz="0" w:space="0" w:color="auto"/>
            <w:bottom w:val="none" w:sz="0" w:space="0" w:color="auto"/>
            <w:right w:val="none" w:sz="0" w:space="0" w:color="auto"/>
          </w:divBdr>
          <w:divsChild>
            <w:div w:id="238054533">
              <w:marLeft w:val="0"/>
              <w:marRight w:val="0"/>
              <w:marTop w:val="0"/>
              <w:marBottom w:val="0"/>
              <w:divBdr>
                <w:top w:val="none" w:sz="0" w:space="0" w:color="auto"/>
                <w:left w:val="none" w:sz="0" w:space="0" w:color="auto"/>
                <w:bottom w:val="none" w:sz="0" w:space="0" w:color="auto"/>
                <w:right w:val="none" w:sz="0" w:space="0" w:color="auto"/>
              </w:divBdr>
              <w:divsChild>
                <w:div w:id="1737240089">
                  <w:marLeft w:val="0"/>
                  <w:marRight w:val="0"/>
                  <w:marTop w:val="0"/>
                  <w:marBottom w:val="0"/>
                  <w:divBdr>
                    <w:top w:val="none" w:sz="0" w:space="0" w:color="auto"/>
                    <w:left w:val="none" w:sz="0" w:space="0" w:color="auto"/>
                    <w:bottom w:val="none" w:sz="0" w:space="0" w:color="auto"/>
                    <w:right w:val="none" w:sz="0" w:space="0" w:color="auto"/>
                  </w:divBdr>
                  <w:divsChild>
                    <w:div w:id="1168255932">
                      <w:marLeft w:val="0"/>
                      <w:marRight w:val="0"/>
                      <w:marTop w:val="120"/>
                      <w:marBottom w:val="0"/>
                      <w:divBdr>
                        <w:top w:val="none" w:sz="0" w:space="0" w:color="auto"/>
                        <w:left w:val="none" w:sz="0" w:space="0" w:color="auto"/>
                        <w:bottom w:val="none" w:sz="0" w:space="0" w:color="auto"/>
                        <w:right w:val="none" w:sz="0" w:space="0" w:color="auto"/>
                      </w:divBdr>
                      <w:divsChild>
                        <w:div w:id="2123765006">
                          <w:marLeft w:val="0"/>
                          <w:marRight w:val="0"/>
                          <w:marTop w:val="0"/>
                          <w:marBottom w:val="0"/>
                          <w:divBdr>
                            <w:top w:val="none" w:sz="0" w:space="0" w:color="auto"/>
                            <w:left w:val="none" w:sz="0" w:space="0" w:color="auto"/>
                            <w:bottom w:val="none" w:sz="0" w:space="0" w:color="auto"/>
                            <w:right w:val="none" w:sz="0" w:space="0" w:color="auto"/>
                          </w:divBdr>
                          <w:divsChild>
                            <w:div w:id="156267341">
                              <w:marLeft w:val="0"/>
                              <w:marRight w:val="0"/>
                              <w:marTop w:val="0"/>
                              <w:marBottom w:val="0"/>
                              <w:divBdr>
                                <w:top w:val="none" w:sz="0" w:space="0" w:color="auto"/>
                                <w:left w:val="none" w:sz="0" w:space="0" w:color="auto"/>
                                <w:bottom w:val="none" w:sz="0" w:space="0" w:color="auto"/>
                                <w:right w:val="none" w:sz="0" w:space="0" w:color="auto"/>
                              </w:divBdr>
                              <w:divsChild>
                                <w:div w:id="2095197568">
                                  <w:marLeft w:val="0"/>
                                  <w:marRight w:val="0"/>
                                  <w:marTop w:val="0"/>
                                  <w:marBottom w:val="0"/>
                                  <w:divBdr>
                                    <w:top w:val="none" w:sz="0" w:space="0" w:color="auto"/>
                                    <w:left w:val="none" w:sz="0" w:space="0" w:color="auto"/>
                                    <w:bottom w:val="none" w:sz="0" w:space="0" w:color="auto"/>
                                    <w:right w:val="none" w:sz="0" w:space="0" w:color="auto"/>
                                  </w:divBdr>
                                </w:div>
                                <w:div w:id="414010973">
                                  <w:marLeft w:val="0"/>
                                  <w:marRight w:val="0"/>
                                  <w:marTop w:val="0"/>
                                  <w:marBottom w:val="0"/>
                                  <w:divBdr>
                                    <w:top w:val="none" w:sz="0" w:space="0" w:color="auto"/>
                                    <w:left w:val="none" w:sz="0" w:space="0" w:color="auto"/>
                                    <w:bottom w:val="none" w:sz="0" w:space="0" w:color="auto"/>
                                    <w:right w:val="none" w:sz="0" w:space="0" w:color="auto"/>
                                  </w:divBdr>
                                </w:div>
                                <w:div w:id="1803617411">
                                  <w:marLeft w:val="0"/>
                                  <w:marRight w:val="0"/>
                                  <w:marTop w:val="0"/>
                                  <w:marBottom w:val="0"/>
                                  <w:divBdr>
                                    <w:top w:val="none" w:sz="0" w:space="0" w:color="auto"/>
                                    <w:left w:val="none" w:sz="0" w:space="0" w:color="auto"/>
                                    <w:bottom w:val="none" w:sz="0" w:space="0" w:color="auto"/>
                                    <w:right w:val="none" w:sz="0" w:space="0" w:color="auto"/>
                                  </w:divBdr>
                                </w:div>
                                <w:div w:id="338702972">
                                  <w:marLeft w:val="0"/>
                                  <w:marRight w:val="0"/>
                                  <w:marTop w:val="0"/>
                                  <w:marBottom w:val="0"/>
                                  <w:divBdr>
                                    <w:top w:val="none" w:sz="0" w:space="0" w:color="auto"/>
                                    <w:left w:val="none" w:sz="0" w:space="0" w:color="auto"/>
                                    <w:bottom w:val="none" w:sz="0" w:space="0" w:color="auto"/>
                                    <w:right w:val="none" w:sz="0" w:space="0" w:color="auto"/>
                                  </w:divBdr>
                                </w:div>
                                <w:div w:id="1339886942">
                                  <w:marLeft w:val="0"/>
                                  <w:marRight w:val="0"/>
                                  <w:marTop w:val="0"/>
                                  <w:marBottom w:val="0"/>
                                  <w:divBdr>
                                    <w:top w:val="none" w:sz="0" w:space="0" w:color="auto"/>
                                    <w:left w:val="none" w:sz="0" w:space="0" w:color="auto"/>
                                    <w:bottom w:val="none" w:sz="0" w:space="0" w:color="auto"/>
                                    <w:right w:val="none" w:sz="0" w:space="0" w:color="auto"/>
                                  </w:divBdr>
                                </w:div>
                                <w:div w:id="1449933952">
                                  <w:marLeft w:val="0"/>
                                  <w:marRight w:val="0"/>
                                  <w:marTop w:val="0"/>
                                  <w:marBottom w:val="0"/>
                                  <w:divBdr>
                                    <w:top w:val="none" w:sz="0" w:space="0" w:color="auto"/>
                                    <w:left w:val="none" w:sz="0" w:space="0" w:color="auto"/>
                                    <w:bottom w:val="none" w:sz="0" w:space="0" w:color="auto"/>
                                    <w:right w:val="none" w:sz="0" w:space="0" w:color="auto"/>
                                  </w:divBdr>
                                </w:div>
                                <w:div w:id="347372245">
                                  <w:marLeft w:val="0"/>
                                  <w:marRight w:val="0"/>
                                  <w:marTop w:val="0"/>
                                  <w:marBottom w:val="0"/>
                                  <w:divBdr>
                                    <w:top w:val="none" w:sz="0" w:space="0" w:color="auto"/>
                                    <w:left w:val="none" w:sz="0" w:space="0" w:color="auto"/>
                                    <w:bottom w:val="none" w:sz="0" w:space="0" w:color="auto"/>
                                    <w:right w:val="none" w:sz="0" w:space="0" w:color="auto"/>
                                  </w:divBdr>
                                </w:div>
                                <w:div w:id="1713000470">
                                  <w:marLeft w:val="0"/>
                                  <w:marRight w:val="0"/>
                                  <w:marTop w:val="0"/>
                                  <w:marBottom w:val="0"/>
                                  <w:divBdr>
                                    <w:top w:val="none" w:sz="0" w:space="0" w:color="auto"/>
                                    <w:left w:val="none" w:sz="0" w:space="0" w:color="auto"/>
                                    <w:bottom w:val="none" w:sz="0" w:space="0" w:color="auto"/>
                                    <w:right w:val="none" w:sz="0" w:space="0" w:color="auto"/>
                                  </w:divBdr>
                                </w:div>
                                <w:div w:id="2112117181">
                                  <w:marLeft w:val="0"/>
                                  <w:marRight w:val="0"/>
                                  <w:marTop w:val="0"/>
                                  <w:marBottom w:val="0"/>
                                  <w:divBdr>
                                    <w:top w:val="none" w:sz="0" w:space="0" w:color="auto"/>
                                    <w:left w:val="none" w:sz="0" w:space="0" w:color="auto"/>
                                    <w:bottom w:val="none" w:sz="0" w:space="0" w:color="auto"/>
                                    <w:right w:val="none" w:sz="0" w:space="0" w:color="auto"/>
                                  </w:divBdr>
                                </w:div>
                                <w:div w:id="1530878411">
                                  <w:marLeft w:val="0"/>
                                  <w:marRight w:val="0"/>
                                  <w:marTop w:val="0"/>
                                  <w:marBottom w:val="0"/>
                                  <w:divBdr>
                                    <w:top w:val="none" w:sz="0" w:space="0" w:color="auto"/>
                                    <w:left w:val="none" w:sz="0" w:space="0" w:color="auto"/>
                                    <w:bottom w:val="none" w:sz="0" w:space="0" w:color="auto"/>
                                    <w:right w:val="none" w:sz="0" w:space="0" w:color="auto"/>
                                  </w:divBdr>
                                </w:div>
                                <w:div w:id="1577593224">
                                  <w:marLeft w:val="0"/>
                                  <w:marRight w:val="0"/>
                                  <w:marTop w:val="0"/>
                                  <w:marBottom w:val="0"/>
                                  <w:divBdr>
                                    <w:top w:val="none" w:sz="0" w:space="0" w:color="auto"/>
                                    <w:left w:val="none" w:sz="0" w:space="0" w:color="auto"/>
                                    <w:bottom w:val="none" w:sz="0" w:space="0" w:color="auto"/>
                                    <w:right w:val="none" w:sz="0" w:space="0" w:color="auto"/>
                                  </w:divBdr>
                                </w:div>
                                <w:div w:id="1592008397">
                                  <w:marLeft w:val="0"/>
                                  <w:marRight w:val="0"/>
                                  <w:marTop w:val="0"/>
                                  <w:marBottom w:val="0"/>
                                  <w:divBdr>
                                    <w:top w:val="none" w:sz="0" w:space="0" w:color="auto"/>
                                    <w:left w:val="none" w:sz="0" w:space="0" w:color="auto"/>
                                    <w:bottom w:val="none" w:sz="0" w:space="0" w:color="auto"/>
                                    <w:right w:val="none" w:sz="0" w:space="0" w:color="auto"/>
                                  </w:divBdr>
                                </w:div>
                                <w:div w:id="997729614">
                                  <w:marLeft w:val="0"/>
                                  <w:marRight w:val="0"/>
                                  <w:marTop w:val="0"/>
                                  <w:marBottom w:val="0"/>
                                  <w:divBdr>
                                    <w:top w:val="none" w:sz="0" w:space="0" w:color="auto"/>
                                    <w:left w:val="none" w:sz="0" w:space="0" w:color="auto"/>
                                    <w:bottom w:val="none" w:sz="0" w:space="0" w:color="auto"/>
                                    <w:right w:val="none" w:sz="0" w:space="0" w:color="auto"/>
                                  </w:divBdr>
                                </w:div>
                                <w:div w:id="1104962002">
                                  <w:marLeft w:val="0"/>
                                  <w:marRight w:val="0"/>
                                  <w:marTop w:val="0"/>
                                  <w:marBottom w:val="0"/>
                                  <w:divBdr>
                                    <w:top w:val="none" w:sz="0" w:space="0" w:color="auto"/>
                                    <w:left w:val="none" w:sz="0" w:space="0" w:color="auto"/>
                                    <w:bottom w:val="none" w:sz="0" w:space="0" w:color="auto"/>
                                    <w:right w:val="none" w:sz="0" w:space="0" w:color="auto"/>
                                  </w:divBdr>
                                </w:div>
                                <w:div w:id="16700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577161">
          <w:marLeft w:val="0"/>
          <w:marRight w:val="0"/>
          <w:marTop w:val="0"/>
          <w:marBottom w:val="0"/>
          <w:divBdr>
            <w:top w:val="none" w:sz="0" w:space="0" w:color="auto"/>
            <w:left w:val="none" w:sz="0" w:space="0" w:color="auto"/>
            <w:bottom w:val="none" w:sz="0" w:space="0" w:color="auto"/>
            <w:right w:val="none" w:sz="0" w:space="0" w:color="auto"/>
          </w:divBdr>
          <w:divsChild>
            <w:div w:id="1740597627">
              <w:marLeft w:val="0"/>
              <w:marRight w:val="0"/>
              <w:marTop w:val="0"/>
              <w:marBottom w:val="0"/>
              <w:divBdr>
                <w:top w:val="none" w:sz="0" w:space="0" w:color="auto"/>
                <w:left w:val="none" w:sz="0" w:space="0" w:color="auto"/>
                <w:bottom w:val="none" w:sz="0" w:space="0" w:color="auto"/>
                <w:right w:val="none" w:sz="0" w:space="0" w:color="auto"/>
              </w:divBdr>
              <w:divsChild>
                <w:div w:id="1442728327">
                  <w:marLeft w:val="0"/>
                  <w:marRight w:val="0"/>
                  <w:marTop w:val="0"/>
                  <w:marBottom w:val="0"/>
                  <w:divBdr>
                    <w:top w:val="none" w:sz="0" w:space="0" w:color="auto"/>
                    <w:left w:val="none" w:sz="0" w:space="0" w:color="auto"/>
                    <w:bottom w:val="none" w:sz="0" w:space="0" w:color="auto"/>
                    <w:right w:val="none" w:sz="0" w:space="0" w:color="auto"/>
                  </w:divBdr>
                  <w:divsChild>
                    <w:div w:id="875779350">
                      <w:marLeft w:val="0"/>
                      <w:marRight w:val="0"/>
                      <w:marTop w:val="0"/>
                      <w:marBottom w:val="0"/>
                      <w:divBdr>
                        <w:top w:val="none" w:sz="0" w:space="0" w:color="auto"/>
                        <w:left w:val="none" w:sz="0" w:space="0" w:color="auto"/>
                        <w:bottom w:val="none" w:sz="0" w:space="0" w:color="auto"/>
                        <w:right w:val="none" w:sz="0" w:space="0" w:color="auto"/>
                      </w:divBdr>
                      <w:divsChild>
                        <w:div w:id="1509178665">
                          <w:marLeft w:val="0"/>
                          <w:marRight w:val="0"/>
                          <w:marTop w:val="0"/>
                          <w:marBottom w:val="0"/>
                          <w:divBdr>
                            <w:top w:val="none" w:sz="0" w:space="0" w:color="auto"/>
                            <w:left w:val="none" w:sz="0" w:space="0" w:color="auto"/>
                            <w:bottom w:val="none" w:sz="0" w:space="0" w:color="auto"/>
                            <w:right w:val="none" w:sz="0" w:space="0" w:color="auto"/>
                          </w:divBdr>
                          <w:divsChild>
                            <w:div w:id="4383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 Lal</dc:creator>
  <cp:lastModifiedBy>DELL</cp:lastModifiedBy>
  <cp:revision>4</cp:revision>
  <dcterms:created xsi:type="dcterms:W3CDTF">2021-08-06T08:07:00Z</dcterms:created>
  <dcterms:modified xsi:type="dcterms:W3CDTF">2021-08-06T08:57:00Z</dcterms:modified>
</cp:coreProperties>
</file>