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214" w:rsidRDefault="00AB2FB9">
      <w:pPr>
        <w:rPr>
          <w:rFonts w:ascii="Verdana" w:hAnsi="Verdana"/>
          <w:sz w:val="24"/>
          <w:szCs w:val="24"/>
          <w:lang w:val="en-US"/>
        </w:rPr>
      </w:pPr>
      <w:r>
        <w:rPr>
          <w:rFonts w:ascii="Verdana" w:hAnsi="Verdana"/>
          <w:sz w:val="24"/>
          <w:szCs w:val="24"/>
          <w:lang w:val="en-US"/>
        </w:rPr>
        <w:t>Appeal against</w:t>
      </w:r>
      <w:r w:rsidR="00AC40A7">
        <w:rPr>
          <w:rFonts w:ascii="Verdana" w:hAnsi="Verdana"/>
          <w:sz w:val="24"/>
          <w:szCs w:val="24"/>
          <w:lang w:val="en-US"/>
        </w:rPr>
        <w:t xml:space="preserve"> order dated 21/03/2022 under section 263 of the Income-tax Act, 1961</w:t>
      </w:r>
      <w:r w:rsidR="004B5906">
        <w:rPr>
          <w:rFonts w:ascii="Verdana" w:hAnsi="Verdana"/>
          <w:sz w:val="24"/>
          <w:szCs w:val="24"/>
          <w:lang w:val="en-US"/>
        </w:rPr>
        <w:t>in the case of chhatrapati Sambhaji Maharaj Co-operative Society Ltd, Pimpode Badruk-</w:t>
      </w:r>
    </w:p>
    <w:p w:rsidR="00AB2FB9" w:rsidRDefault="00AB2FB9" w:rsidP="00AB2FB9">
      <w:pPr>
        <w:jc w:val="center"/>
        <w:rPr>
          <w:rFonts w:ascii="Verdana" w:hAnsi="Verdana"/>
          <w:b/>
          <w:sz w:val="24"/>
          <w:szCs w:val="24"/>
          <w:u w:val="single"/>
          <w:lang w:val="en-US"/>
        </w:rPr>
      </w:pPr>
      <w:r w:rsidRPr="00AB2FB9">
        <w:rPr>
          <w:rFonts w:ascii="Verdana" w:hAnsi="Verdana"/>
          <w:b/>
          <w:sz w:val="24"/>
          <w:szCs w:val="24"/>
          <w:u w:val="single"/>
          <w:lang w:val="en-US"/>
        </w:rPr>
        <w:t>Grounds of Appeal</w:t>
      </w:r>
    </w:p>
    <w:p w:rsidR="00AB2FB9" w:rsidRDefault="00AB2FB9" w:rsidP="00AB2FB9">
      <w:pPr>
        <w:pStyle w:val="ListParagraph"/>
        <w:numPr>
          <w:ilvl w:val="0"/>
          <w:numId w:val="3"/>
        </w:numPr>
        <w:rPr>
          <w:rFonts w:ascii="Verdana" w:hAnsi="Verdana"/>
          <w:sz w:val="24"/>
          <w:szCs w:val="24"/>
          <w:lang w:val="en-US"/>
        </w:rPr>
      </w:pPr>
      <w:r>
        <w:rPr>
          <w:rFonts w:ascii="Verdana" w:hAnsi="Verdana"/>
          <w:sz w:val="24"/>
          <w:szCs w:val="24"/>
          <w:lang w:val="en-US"/>
        </w:rPr>
        <w:t>On the facts and in the circumstances of the case and in law, Learned Commissioner of Income-tax (In short, the CIT) erred in invoking revisionary jurisdiction under section 263 of the Income-tax Act, 1961 (In short, the Act)</w:t>
      </w:r>
      <w:r w:rsidR="001B3832">
        <w:rPr>
          <w:rFonts w:ascii="Verdana" w:hAnsi="Verdana"/>
          <w:sz w:val="24"/>
          <w:szCs w:val="24"/>
          <w:lang w:val="en-US"/>
        </w:rPr>
        <w:t xml:space="preserve"> for the verification of facts which existed on the record;</w:t>
      </w:r>
    </w:p>
    <w:p w:rsidR="001B3832" w:rsidRDefault="001B3832" w:rsidP="00AB2FB9">
      <w:pPr>
        <w:pStyle w:val="ListParagraph"/>
        <w:numPr>
          <w:ilvl w:val="0"/>
          <w:numId w:val="3"/>
        </w:numPr>
        <w:rPr>
          <w:rFonts w:ascii="Verdana" w:hAnsi="Verdana"/>
          <w:sz w:val="24"/>
          <w:szCs w:val="24"/>
          <w:lang w:val="en-US"/>
        </w:rPr>
      </w:pPr>
      <w:r>
        <w:rPr>
          <w:rFonts w:ascii="Verdana" w:hAnsi="Verdana"/>
          <w:sz w:val="24"/>
          <w:szCs w:val="24"/>
          <w:lang w:val="en-US"/>
        </w:rPr>
        <w:t>On the facts and in the circumstances of the case and in law, Learned CIT erred in</w:t>
      </w:r>
      <w:r>
        <w:rPr>
          <w:rFonts w:ascii="Verdana" w:hAnsi="Verdana"/>
          <w:sz w:val="24"/>
          <w:szCs w:val="24"/>
          <w:lang w:val="en-US"/>
        </w:rPr>
        <w:t xml:space="preserve"> going beyond his jurisdiction  (In short, the AO)in terms of section 263 of the Act to hold that the assessment order passed under section 143 (3) of the Act by learned Assessing Officer(In short, the AO) was prima facie appearing to be erroneous and prejudicial to the interests of revenue;</w:t>
      </w:r>
    </w:p>
    <w:p w:rsidR="001B3832" w:rsidRDefault="001B3832" w:rsidP="00AB2FB9">
      <w:pPr>
        <w:pStyle w:val="ListParagraph"/>
        <w:numPr>
          <w:ilvl w:val="0"/>
          <w:numId w:val="3"/>
        </w:numPr>
        <w:rPr>
          <w:rFonts w:ascii="Verdana" w:hAnsi="Verdana"/>
          <w:sz w:val="24"/>
          <w:szCs w:val="24"/>
          <w:lang w:val="en-US"/>
        </w:rPr>
      </w:pPr>
      <w:r>
        <w:rPr>
          <w:rFonts w:ascii="Verdana" w:hAnsi="Verdana"/>
          <w:sz w:val="24"/>
          <w:szCs w:val="24"/>
          <w:lang w:val="en-US"/>
        </w:rPr>
        <w:t>On the facts and in the circumstances of the case and in law, Learned CIT erred in</w:t>
      </w:r>
      <w:r w:rsidR="0009748F">
        <w:rPr>
          <w:rFonts w:ascii="Verdana" w:hAnsi="Verdana"/>
          <w:sz w:val="24"/>
          <w:szCs w:val="24"/>
          <w:lang w:val="en-US"/>
        </w:rPr>
        <w:t xml:space="preserve"> invoking provisions of section 263 of the Act notwithstanding the fact that learned AO had taken a reasonable and possible view after making enquiries</w:t>
      </w:r>
      <w:r w:rsidR="00A16036">
        <w:rPr>
          <w:rFonts w:ascii="Verdana" w:hAnsi="Verdana"/>
          <w:sz w:val="24"/>
          <w:szCs w:val="24"/>
          <w:lang w:val="en-US"/>
        </w:rPr>
        <w:t>;</w:t>
      </w:r>
    </w:p>
    <w:p w:rsidR="00A16036" w:rsidRDefault="00A16036" w:rsidP="00AB2FB9">
      <w:pPr>
        <w:pStyle w:val="ListParagraph"/>
        <w:numPr>
          <w:ilvl w:val="0"/>
          <w:numId w:val="3"/>
        </w:numPr>
        <w:rPr>
          <w:rFonts w:ascii="Verdana" w:hAnsi="Verdana"/>
          <w:sz w:val="24"/>
          <w:szCs w:val="24"/>
          <w:lang w:val="en-US"/>
        </w:rPr>
      </w:pPr>
      <w:r>
        <w:rPr>
          <w:rFonts w:ascii="Verdana" w:hAnsi="Verdana"/>
          <w:sz w:val="24"/>
          <w:szCs w:val="24"/>
          <w:lang w:val="en-US"/>
        </w:rPr>
        <w:t xml:space="preserve">Without prejudice to the  above, on the facts and </w:t>
      </w:r>
      <w:proofErr w:type="spellStart"/>
      <w:r>
        <w:rPr>
          <w:rFonts w:ascii="Verdana" w:hAnsi="Verdana"/>
          <w:sz w:val="24"/>
          <w:szCs w:val="24"/>
          <w:lang w:val="en-US"/>
        </w:rPr>
        <w:t>iin</w:t>
      </w:r>
      <w:proofErr w:type="spellEnd"/>
      <w:r>
        <w:rPr>
          <w:rFonts w:ascii="Verdana" w:hAnsi="Verdana"/>
          <w:sz w:val="24"/>
          <w:szCs w:val="24"/>
          <w:lang w:val="en-US"/>
        </w:rPr>
        <w:t xml:space="preserve"> the circumstances of the case and in law, learned CIT erred in holding that co-operative banks are not co-operative societies;</w:t>
      </w:r>
    </w:p>
    <w:p w:rsidR="00A16036" w:rsidRDefault="00A854DF" w:rsidP="00AB2FB9">
      <w:pPr>
        <w:pStyle w:val="ListParagraph"/>
        <w:numPr>
          <w:ilvl w:val="0"/>
          <w:numId w:val="3"/>
        </w:numPr>
        <w:rPr>
          <w:rFonts w:ascii="Verdana" w:hAnsi="Verdana"/>
          <w:sz w:val="24"/>
          <w:szCs w:val="24"/>
          <w:lang w:val="en-US"/>
        </w:rPr>
      </w:pPr>
      <w:r>
        <w:rPr>
          <w:rFonts w:ascii="Verdana" w:hAnsi="Verdana"/>
          <w:sz w:val="24"/>
          <w:szCs w:val="24"/>
          <w:lang w:val="en-US"/>
        </w:rPr>
        <w:t xml:space="preserve">Without </w:t>
      </w:r>
      <w:r>
        <w:rPr>
          <w:rFonts w:ascii="Verdana" w:hAnsi="Verdana"/>
          <w:sz w:val="24"/>
          <w:szCs w:val="24"/>
          <w:lang w:val="en-US"/>
        </w:rPr>
        <w:t xml:space="preserve">further </w:t>
      </w:r>
      <w:r>
        <w:rPr>
          <w:rFonts w:ascii="Verdana" w:hAnsi="Verdana"/>
          <w:sz w:val="24"/>
          <w:szCs w:val="24"/>
          <w:lang w:val="en-US"/>
        </w:rPr>
        <w:t xml:space="preserve">prejudice to the  above, on the facts and </w:t>
      </w:r>
      <w:proofErr w:type="spellStart"/>
      <w:r>
        <w:rPr>
          <w:rFonts w:ascii="Verdana" w:hAnsi="Verdana"/>
          <w:sz w:val="24"/>
          <w:szCs w:val="24"/>
          <w:lang w:val="en-US"/>
        </w:rPr>
        <w:t>iin</w:t>
      </w:r>
      <w:proofErr w:type="spellEnd"/>
      <w:r>
        <w:rPr>
          <w:rFonts w:ascii="Verdana" w:hAnsi="Verdana"/>
          <w:sz w:val="24"/>
          <w:szCs w:val="24"/>
          <w:lang w:val="en-US"/>
        </w:rPr>
        <w:t xml:space="preserve"> the circumstances of the case and in law, learned CIT erred in holding</w:t>
      </w:r>
      <w:r>
        <w:rPr>
          <w:rFonts w:ascii="Verdana" w:hAnsi="Verdana"/>
          <w:sz w:val="24"/>
          <w:szCs w:val="24"/>
          <w:lang w:val="en-US"/>
        </w:rPr>
        <w:t xml:space="preserve"> that the interest earned from co-operative banks was surplus invested and holding that the same was income from Other Sources and not “Profits and gains from Business or profession.</w:t>
      </w:r>
    </w:p>
    <w:p w:rsidR="00A854DF" w:rsidRDefault="00A854DF" w:rsidP="00AB2FB9">
      <w:pPr>
        <w:pStyle w:val="ListParagraph"/>
        <w:numPr>
          <w:ilvl w:val="0"/>
          <w:numId w:val="3"/>
        </w:numPr>
        <w:rPr>
          <w:rFonts w:ascii="Verdana" w:hAnsi="Verdana"/>
          <w:sz w:val="24"/>
          <w:szCs w:val="24"/>
          <w:lang w:val="en-US"/>
        </w:rPr>
      </w:pPr>
      <w:r>
        <w:rPr>
          <w:rFonts w:ascii="Verdana" w:hAnsi="Verdana"/>
          <w:sz w:val="24"/>
          <w:szCs w:val="24"/>
          <w:lang w:val="en-US"/>
        </w:rPr>
        <w:t>The appellant craves leave to amend, modify, revise</w:t>
      </w:r>
      <w:r w:rsidR="00DA06AB">
        <w:rPr>
          <w:rFonts w:ascii="Verdana" w:hAnsi="Verdana"/>
          <w:sz w:val="24"/>
          <w:szCs w:val="24"/>
          <w:lang w:val="en-US"/>
        </w:rPr>
        <w:t>, add or delete any ground</w:t>
      </w:r>
      <w:r w:rsidR="00684BBA">
        <w:rPr>
          <w:rFonts w:ascii="Verdana" w:hAnsi="Verdana"/>
          <w:sz w:val="24"/>
          <w:szCs w:val="24"/>
          <w:lang w:val="en-US"/>
        </w:rPr>
        <w:t>.</w:t>
      </w:r>
    </w:p>
    <w:p w:rsidR="00684BBA" w:rsidRDefault="00684BBA" w:rsidP="00684BBA">
      <w:pPr>
        <w:pStyle w:val="ListParagraph"/>
        <w:rPr>
          <w:rFonts w:ascii="Verdana" w:hAnsi="Verdana"/>
          <w:sz w:val="24"/>
          <w:szCs w:val="24"/>
          <w:lang w:val="en-US"/>
        </w:rPr>
      </w:pPr>
    </w:p>
    <w:p w:rsidR="00A854DF" w:rsidRPr="00AB2FB9" w:rsidRDefault="00A854DF" w:rsidP="00684BBA">
      <w:pPr>
        <w:pStyle w:val="ListParagraph"/>
        <w:rPr>
          <w:rFonts w:ascii="Verdana" w:hAnsi="Verdana"/>
          <w:sz w:val="24"/>
          <w:szCs w:val="24"/>
          <w:lang w:val="en-US"/>
        </w:rPr>
      </w:pPr>
      <w:bookmarkStart w:id="0" w:name="_GoBack"/>
      <w:bookmarkEnd w:id="0"/>
    </w:p>
    <w:sectPr w:rsidR="00A854DF" w:rsidRPr="00AB2FB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30E9" w:rsidRDefault="004430E9" w:rsidP="004B5906">
      <w:pPr>
        <w:spacing w:after="0" w:line="240" w:lineRule="auto"/>
      </w:pPr>
      <w:r>
        <w:separator/>
      </w:r>
    </w:p>
  </w:endnote>
  <w:endnote w:type="continuationSeparator" w:id="0">
    <w:p w:rsidR="004430E9" w:rsidRDefault="004430E9" w:rsidP="004B5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30E9" w:rsidRDefault="004430E9" w:rsidP="004B5906">
      <w:pPr>
        <w:spacing w:after="0" w:line="240" w:lineRule="auto"/>
      </w:pPr>
      <w:r>
        <w:separator/>
      </w:r>
    </w:p>
  </w:footnote>
  <w:footnote w:type="continuationSeparator" w:id="0">
    <w:p w:rsidR="004430E9" w:rsidRDefault="004430E9" w:rsidP="004B59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5F5228"/>
    <w:multiLevelType w:val="hybridMultilevel"/>
    <w:tmpl w:val="5FBACEE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4E1E122E"/>
    <w:multiLevelType w:val="hybridMultilevel"/>
    <w:tmpl w:val="100E512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50F8734D"/>
    <w:multiLevelType w:val="hybridMultilevel"/>
    <w:tmpl w:val="AB265DF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9D6"/>
    <w:rsid w:val="0009748F"/>
    <w:rsid w:val="001B3832"/>
    <w:rsid w:val="004430E9"/>
    <w:rsid w:val="004B5906"/>
    <w:rsid w:val="00684BBA"/>
    <w:rsid w:val="00A16036"/>
    <w:rsid w:val="00A854DF"/>
    <w:rsid w:val="00AB2FB9"/>
    <w:rsid w:val="00AC40A7"/>
    <w:rsid w:val="00DA06AB"/>
    <w:rsid w:val="00DA6214"/>
    <w:rsid w:val="00EB39D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59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5906"/>
  </w:style>
  <w:style w:type="paragraph" w:styleId="Footer">
    <w:name w:val="footer"/>
    <w:basedOn w:val="Normal"/>
    <w:link w:val="FooterChar"/>
    <w:uiPriority w:val="99"/>
    <w:unhideWhenUsed/>
    <w:rsid w:val="004B59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5906"/>
  </w:style>
  <w:style w:type="paragraph" w:styleId="ListParagraph">
    <w:name w:val="List Paragraph"/>
    <w:basedOn w:val="Normal"/>
    <w:uiPriority w:val="34"/>
    <w:qFormat/>
    <w:rsid w:val="00AB2F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59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5906"/>
  </w:style>
  <w:style w:type="paragraph" w:styleId="Footer">
    <w:name w:val="footer"/>
    <w:basedOn w:val="Normal"/>
    <w:link w:val="FooterChar"/>
    <w:uiPriority w:val="99"/>
    <w:unhideWhenUsed/>
    <w:rsid w:val="004B59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5906"/>
  </w:style>
  <w:style w:type="paragraph" w:styleId="ListParagraph">
    <w:name w:val="List Paragraph"/>
    <w:basedOn w:val="Normal"/>
    <w:uiPriority w:val="34"/>
    <w:qFormat/>
    <w:rsid w:val="00AB2F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247</Words>
  <Characters>1412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Dave</dc:creator>
  <cp:lastModifiedBy>G Dave</cp:lastModifiedBy>
  <cp:revision>7</cp:revision>
  <dcterms:created xsi:type="dcterms:W3CDTF">2022-04-29T15:48:00Z</dcterms:created>
  <dcterms:modified xsi:type="dcterms:W3CDTF">2022-04-29T16:20:00Z</dcterms:modified>
</cp:coreProperties>
</file>