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 xml:space="preserve">Set of transactions </w:t>
      </w:r>
    </w:p>
    <w:p>
      <w:pPr>
        <w:pStyle w:val="Body"/>
        <w:bidi w:val="0"/>
      </w:pPr>
    </w:p>
    <w:p>
      <w:pPr>
        <w:pStyle w:val="Body"/>
        <w:numPr>
          <w:ilvl w:val="0"/>
          <w:numId w:val="2"/>
        </w:numPr>
        <w:spacing w:line="264" w:lineRule="auto"/>
        <w:rPr>
          <w:sz w:val="26"/>
          <w:szCs w:val="26"/>
          <w:u w:val="single"/>
          <w:lang w:val="en-US"/>
        </w:rPr>
      </w:pPr>
      <w:r>
        <w:rPr>
          <w:sz w:val="26"/>
          <w:szCs w:val="26"/>
          <w:u w:val="single"/>
          <w:rtl w:val="0"/>
          <w:lang w:val="en-US"/>
        </w:rPr>
        <w:t>Loan received by assessee from other trusts(02)- aggregating to Rs. 19,14,17,278 (Liability)(Cr)</w:t>
      </w:r>
    </w:p>
    <w:p>
      <w:pPr>
        <w:pStyle w:val="Body"/>
        <w:spacing w:line="264" w:lineRule="auto"/>
        <w:rPr>
          <w:sz w:val="26"/>
          <w:szCs w:val="26"/>
          <w:u w:val="single"/>
        </w:rPr>
      </w:pPr>
    </w:p>
    <w:p>
      <w:pPr>
        <w:pStyle w:val="Body"/>
        <w:spacing w:line="264" w:lineRule="auto"/>
        <w:jc w:val="both"/>
        <w:rPr>
          <w:sz w:val="24"/>
          <w:szCs w:val="24"/>
        </w:rPr>
      </w:pPr>
      <w:r>
        <w:rPr>
          <w:sz w:val="24"/>
          <w:szCs w:val="24"/>
          <w:rtl w:val="0"/>
          <w:lang w:val="en-US"/>
        </w:rPr>
        <w:t xml:space="preserve">1. The funds lying on liability side of balance sheet can be considered as voluntary contribution received by trust with specific directions forming part of corpus claiming capital exemption (not routed through P&amp;L account) u/s 11(1)(d) provided counter party is willing to give such declaration. </w:t>
      </w:r>
    </w:p>
    <w:p>
      <w:pPr>
        <w:pStyle w:val="Body"/>
        <w:spacing w:line="264" w:lineRule="auto"/>
        <w:jc w:val="both"/>
        <w:rPr>
          <w:sz w:val="24"/>
          <w:szCs w:val="24"/>
        </w:rPr>
      </w:pPr>
      <w:r>
        <w:rPr>
          <w:sz w:val="24"/>
          <w:szCs w:val="24"/>
          <w:rtl w:val="0"/>
          <w:lang w:val="en-US"/>
        </w:rPr>
        <w:t xml:space="preserve">2. Alternatively, it can be routed through P&amp;L account claiming income derived from property held under trust u/s 11(1)(a) and its application / accumulations as the case may be. </w:t>
      </w:r>
    </w:p>
    <w:p>
      <w:pPr>
        <w:pStyle w:val="Body"/>
        <w:spacing w:line="264" w:lineRule="auto"/>
        <w:jc w:val="both"/>
      </w:pPr>
      <w:r>
        <w:tab/>
      </w:r>
    </w:p>
    <w:p>
      <w:pPr>
        <w:pStyle w:val="Body"/>
        <w:numPr>
          <w:ilvl w:val="0"/>
          <w:numId w:val="2"/>
        </w:numPr>
        <w:spacing w:line="264" w:lineRule="auto"/>
        <w:jc w:val="both"/>
        <w:rPr>
          <w:sz w:val="26"/>
          <w:szCs w:val="26"/>
          <w:u w:val="single"/>
          <w:lang w:val="en-US"/>
        </w:rPr>
      </w:pPr>
      <w:r>
        <w:rPr>
          <w:sz w:val="26"/>
          <w:szCs w:val="26"/>
          <w:u w:val="single"/>
          <w:rtl w:val="0"/>
          <w:lang w:val="en-US"/>
        </w:rPr>
        <w:t>Loan given by assessee to other trusts (05) - aggregating to Rs.3,49,50,000 (Asset) (Dr)</w:t>
      </w:r>
    </w:p>
    <w:p>
      <w:pPr>
        <w:pStyle w:val="Body"/>
        <w:spacing w:line="264" w:lineRule="auto"/>
        <w:jc w:val="both"/>
        <w:rPr>
          <w:sz w:val="24"/>
          <w:szCs w:val="24"/>
        </w:rPr>
      </w:pPr>
    </w:p>
    <w:p>
      <w:pPr>
        <w:pStyle w:val="Body"/>
        <w:spacing w:line="264" w:lineRule="auto"/>
        <w:jc w:val="both"/>
        <w:rPr>
          <w:sz w:val="24"/>
          <w:szCs w:val="24"/>
        </w:rPr>
      </w:pPr>
      <w:r>
        <w:rPr>
          <w:sz w:val="24"/>
          <w:szCs w:val="24"/>
          <w:rtl w:val="0"/>
          <w:lang w:val="en-US"/>
        </w:rPr>
        <w:t xml:space="preserve">3. The funds provided to other trusts can be claimed as application of funds provided these funds were given out of income derived from property held under trust as per S.11(1)(a) and the recipient trusts have similar objects and nature of activities. </w:t>
      </w:r>
    </w:p>
    <w:p>
      <w:pPr>
        <w:pStyle w:val="Body"/>
        <w:spacing w:line="264" w:lineRule="auto"/>
        <w:jc w:val="both"/>
        <w:rPr>
          <w:sz w:val="24"/>
          <w:szCs w:val="24"/>
        </w:rPr>
      </w:pPr>
      <w:r>
        <w:rPr>
          <w:sz w:val="24"/>
          <w:szCs w:val="24"/>
          <w:rtl w:val="0"/>
          <w:lang w:val="en-US"/>
        </w:rPr>
        <w:t>4. In case, it was given out of corpus donations received (not from revenues credited to P&amp;L account), the corpus funds should be reduced to that extent.</w:t>
      </w:r>
    </w:p>
    <w:p>
      <w:pPr>
        <w:pStyle w:val="Body"/>
        <w:spacing w:line="264" w:lineRule="auto"/>
        <w:jc w:val="both"/>
      </w:pPr>
    </w:p>
    <w:p>
      <w:pPr>
        <w:pStyle w:val="Body"/>
        <w:numPr>
          <w:ilvl w:val="0"/>
          <w:numId w:val="2"/>
        </w:numPr>
        <w:spacing w:line="264" w:lineRule="auto"/>
        <w:jc w:val="both"/>
        <w:rPr>
          <w:sz w:val="26"/>
          <w:szCs w:val="26"/>
          <w:u w:val="single"/>
          <w:lang w:val="en-US"/>
        </w:rPr>
      </w:pPr>
      <w:r>
        <w:rPr>
          <w:sz w:val="26"/>
          <w:szCs w:val="26"/>
          <w:u w:val="single"/>
          <w:rtl w:val="0"/>
          <w:lang w:val="en-US"/>
        </w:rPr>
        <w:t>Loan given by assessee to individuals (04) - aggregating to Rs.70,37,150 (Asset) (Dr)</w:t>
      </w:r>
    </w:p>
    <w:p>
      <w:pPr>
        <w:pStyle w:val="Body"/>
        <w:spacing w:line="264" w:lineRule="auto"/>
        <w:jc w:val="both"/>
      </w:pPr>
    </w:p>
    <w:p>
      <w:pPr>
        <w:pStyle w:val="Body"/>
        <w:spacing w:line="264" w:lineRule="auto"/>
        <w:jc w:val="both"/>
        <w:rPr>
          <w:sz w:val="24"/>
          <w:szCs w:val="24"/>
        </w:rPr>
      </w:pPr>
      <w:r>
        <w:rPr>
          <w:sz w:val="24"/>
          <w:szCs w:val="24"/>
          <w:rtl w:val="0"/>
          <w:lang w:val="en-US"/>
        </w:rPr>
        <w:t>5. The said funds can be claimed as application of income provided (i) necessary evidence justifying carrying out activities by these individuals aligning main or ancillary object of trust is prima facie evident and reasonable documentation can be maintained (ii) said funds were given out of income derived from property held under trust (earlier routed though P&amp;L)</w:t>
      </w:r>
    </w:p>
    <w:p>
      <w:pPr>
        <w:pStyle w:val="Body"/>
        <w:spacing w:line="264" w:lineRule="auto"/>
        <w:jc w:val="both"/>
        <w:rPr>
          <w:sz w:val="24"/>
          <w:szCs w:val="24"/>
        </w:rPr>
      </w:pPr>
      <w:r>
        <w:rPr>
          <w:sz w:val="24"/>
          <w:szCs w:val="24"/>
          <w:rtl w:val="0"/>
          <w:lang w:val="en-US"/>
        </w:rPr>
        <w:t xml:space="preserve">6. </w:t>
      </w:r>
      <w:r>
        <w:rPr>
          <w:sz w:val="24"/>
          <w:szCs w:val="24"/>
          <w:rtl w:val="0"/>
          <w:lang w:val="en-US"/>
        </w:rPr>
        <w:t>In case, it was given</w:t>
      </w:r>
      <w:r>
        <w:rPr>
          <w:sz w:val="24"/>
          <w:szCs w:val="24"/>
          <w:rtl w:val="0"/>
          <w:lang w:val="en-US"/>
        </w:rPr>
        <w:t xml:space="preserve"> either</w:t>
      </w:r>
      <w:r>
        <w:rPr>
          <w:sz w:val="24"/>
          <w:szCs w:val="24"/>
          <w:rtl w:val="0"/>
          <w:lang w:val="en-US"/>
        </w:rPr>
        <w:t xml:space="preserve"> out of corpus donations received (not from revenues credited to P&amp;L account)</w:t>
      </w:r>
      <w:r>
        <w:rPr>
          <w:sz w:val="24"/>
          <w:szCs w:val="24"/>
          <w:rtl w:val="0"/>
          <w:lang w:val="en-US"/>
        </w:rPr>
        <w:t xml:space="preserve"> or documentation etc cannot be maintained etc</w:t>
      </w:r>
      <w:r>
        <w:rPr>
          <w:sz w:val="24"/>
          <w:szCs w:val="24"/>
          <w:rtl w:val="0"/>
          <w:lang w:val="en-US"/>
        </w:rPr>
        <w:t>, the corpus funds sh</w:t>
      </w:r>
      <w:r>
        <w:rPr>
          <w:sz w:val="24"/>
          <w:szCs w:val="24"/>
          <w:rtl w:val="0"/>
          <w:lang w:val="en-US"/>
        </w:rPr>
        <w:t>ould</w:t>
      </w:r>
      <w:r>
        <w:rPr>
          <w:sz w:val="24"/>
          <w:szCs w:val="24"/>
          <w:rtl w:val="0"/>
        </w:rPr>
        <w:t xml:space="preserve"> </w:t>
      </w:r>
      <w:r>
        <w:rPr>
          <w:sz w:val="24"/>
          <w:szCs w:val="24"/>
          <w:rtl w:val="0"/>
          <w:lang w:val="en-US"/>
        </w:rPr>
        <w:t>be</w:t>
      </w:r>
      <w:r>
        <w:rPr>
          <w:sz w:val="24"/>
          <w:szCs w:val="24"/>
          <w:rtl w:val="0"/>
          <w:lang w:val="en-US"/>
        </w:rPr>
        <w:t xml:space="preserve"> reduced to that extent.</w:t>
      </w:r>
    </w:p>
    <w:p>
      <w:pPr>
        <w:pStyle w:val="Body"/>
        <w:spacing w:line="264" w:lineRule="auto"/>
        <w:jc w:val="both"/>
      </w:pPr>
    </w:p>
    <w:p>
      <w:pPr>
        <w:pStyle w:val="Body"/>
        <w:numPr>
          <w:ilvl w:val="0"/>
          <w:numId w:val="2"/>
        </w:numPr>
        <w:spacing w:line="264" w:lineRule="auto"/>
        <w:jc w:val="both"/>
        <w:rPr>
          <w:sz w:val="26"/>
          <w:szCs w:val="26"/>
          <w:u w:val="single"/>
          <w:lang w:val="en-US"/>
        </w:rPr>
      </w:pPr>
      <w:r>
        <w:rPr>
          <w:sz w:val="26"/>
          <w:szCs w:val="26"/>
          <w:u w:val="single"/>
          <w:rtl w:val="0"/>
          <w:lang w:val="en-US"/>
        </w:rPr>
        <w:t>Loan given by assessee to company (05) - aggregating to Rs.19,09,05,507 (Asset) (Dr)</w:t>
      </w:r>
    </w:p>
    <w:p>
      <w:pPr>
        <w:pStyle w:val="Body"/>
        <w:spacing w:line="264" w:lineRule="auto"/>
        <w:jc w:val="both"/>
        <w:rPr>
          <w:sz w:val="24"/>
          <w:szCs w:val="24"/>
        </w:rPr>
      </w:pPr>
    </w:p>
    <w:p>
      <w:pPr>
        <w:pStyle w:val="Body"/>
        <w:spacing w:line="264" w:lineRule="auto"/>
        <w:jc w:val="both"/>
        <w:rPr>
          <w:sz w:val="24"/>
          <w:szCs w:val="24"/>
        </w:rPr>
      </w:pPr>
      <w:r>
        <w:rPr>
          <w:sz w:val="24"/>
          <w:szCs w:val="24"/>
          <w:rtl w:val="0"/>
          <w:lang w:val="en-US"/>
        </w:rPr>
        <w:t>7. Same as 5 and 6 above</w:t>
      </w:r>
    </w:p>
    <w:p>
      <w:pPr>
        <w:pStyle w:val="Body"/>
        <w:spacing w:line="264" w:lineRule="auto"/>
        <w:jc w:val="both"/>
        <w:rPr>
          <w:sz w:val="24"/>
          <w:szCs w:val="24"/>
        </w:rPr>
      </w:pPr>
    </w:p>
    <w:p>
      <w:pPr>
        <w:pStyle w:val="Body"/>
        <w:spacing w:line="264" w:lineRule="auto"/>
        <w:jc w:val="both"/>
        <w:rPr>
          <w:sz w:val="24"/>
          <w:szCs w:val="24"/>
        </w:rPr>
      </w:pPr>
      <w:r>
        <w:rPr>
          <w:b w:val="1"/>
          <w:bCs w:val="1"/>
          <w:sz w:val="24"/>
          <w:szCs w:val="24"/>
          <w:u w:val="single"/>
          <w:rtl w:val="0"/>
          <w:lang w:val="en-US"/>
        </w:rPr>
        <w:t>Note</w:t>
      </w:r>
      <w:r>
        <w:rPr>
          <w:sz w:val="24"/>
          <w:szCs w:val="24"/>
          <w:rtl w:val="0"/>
          <w:lang w:val="en-US"/>
        </w:rPr>
        <w:t>: For cases C-D, although any money received without consideration is chargeable to tax u/s 56(x). But there is an exclusion list which says that this section shall not be applicable to (i)</w:t>
      </w:r>
      <w:r>
        <w:rPr>
          <w:sz w:val="24"/>
          <w:szCs w:val="24"/>
          <w:rtl w:val="0"/>
          <w:lang w:val="en-US"/>
        </w:rPr>
        <w:t>…</w:t>
      </w:r>
      <w:r>
        <w:rPr>
          <w:sz w:val="24"/>
          <w:szCs w:val="24"/>
          <w:rtl w:val="0"/>
          <w:lang w:val="en-US"/>
        </w:rPr>
        <w:t xml:space="preserve">.. to </w:t>
      </w:r>
      <w:r>
        <w:rPr>
          <w:sz w:val="24"/>
          <w:szCs w:val="24"/>
          <w:rtl w:val="0"/>
          <w:lang w:val="en-US"/>
        </w:rPr>
        <w:t>…</w:t>
      </w:r>
      <w:r>
        <w:rPr>
          <w:sz w:val="24"/>
          <w:szCs w:val="24"/>
          <w:rtl w:val="0"/>
          <w:lang w:val="en-US"/>
        </w:rPr>
        <w:t xml:space="preserve">.. (xi) - wherein clause (vii) says that </w:t>
      </w:r>
    </w:p>
    <w:p>
      <w:pPr>
        <w:pStyle w:val="Body"/>
        <w:spacing w:line="264" w:lineRule="auto"/>
        <w:jc w:val="both"/>
        <w:rPr>
          <w:i w:val="1"/>
          <w:iCs w:val="1"/>
          <w:sz w:val="24"/>
          <w:szCs w:val="24"/>
        </w:rPr>
      </w:pPr>
      <w:r>
        <w:rPr>
          <w:i w:val="1"/>
          <w:iCs w:val="1"/>
          <w:sz w:val="24"/>
          <w:szCs w:val="24"/>
          <w:rtl w:val="0"/>
          <w:lang w:val="en-US"/>
        </w:rPr>
        <w:t>(vii) from or by any trust or institution registered u/s 12A or 12AA</w:t>
      </w:r>
    </w:p>
    <w:p>
      <w:pPr>
        <w:pStyle w:val="Body"/>
        <w:spacing w:line="264" w:lineRule="auto"/>
        <w:jc w:val="both"/>
        <w:rPr>
          <w:i w:val="1"/>
          <w:iCs w:val="1"/>
        </w:rPr>
      </w:pPr>
    </w:p>
    <w:p>
      <w:pPr>
        <w:pStyle w:val="Body"/>
        <w:spacing w:line="264" w:lineRule="auto"/>
        <w:jc w:val="both"/>
      </w:pPr>
      <w:r>
        <w:rPr>
          <w:sz w:val="24"/>
          <w:szCs w:val="24"/>
          <w:rtl w:val="0"/>
          <w:lang w:val="en-US"/>
        </w:rPr>
        <w:t>Accordingly, the counter party can claim as capital receipts as per S.56(x) and such sums shall not be chargeable to tax.</w:t>
      </w:r>
      <w:r>
        <w:rPr>
          <w:rFonts w:ascii="Arial Unicode MS" w:cs="Arial Unicode MS" w:hAnsi="Arial Unicode MS" w:eastAsia="Arial Unicode MS"/>
          <w:b w:val="0"/>
          <w:bCs w:val="0"/>
          <w:i w:val="0"/>
          <w:iCs w:val="0"/>
          <w:sz w:val="24"/>
          <w:szCs w:val="24"/>
        </w:rPr>
        <w:br w:type="page"/>
      </w:r>
    </w:p>
    <w:tbl>
      <w:tblPr>
        <w:tblW w:w="1200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000"/>
        <w:gridCol w:w="2000"/>
        <w:gridCol w:w="2000"/>
        <w:gridCol w:w="2000"/>
        <w:gridCol w:w="2000"/>
        <w:gridCol w:w="2000"/>
      </w:tblGrid>
      <w:tr>
        <w:tblPrEx>
          <w:shd w:val="clear" w:color="auto" w:fill="auto"/>
        </w:tblPrEx>
        <w:trPr>
          <w:trHeight w:val="400"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b w:val="1"/>
                <w:bCs w:val="1"/>
                <w:sz w:val="24"/>
                <w:szCs w:val="24"/>
                <w:rtl w:val="0"/>
              </w:rPr>
              <w:t>Sr No</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center"/>
              <w:rPr>
                <w:rtl w:val="0"/>
              </w:rPr>
            </w:pPr>
            <w:r>
              <w:rPr>
                <w:rFonts w:ascii="Calibri" w:hAnsi="Calibri"/>
                <w:b w:val="1"/>
                <w:bCs w:val="1"/>
                <w:sz w:val="24"/>
                <w:szCs w:val="24"/>
                <w:rtl w:val="0"/>
              </w:rPr>
              <w:t>Name of entity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center"/>
              <w:rPr>
                <w:rtl w:val="0"/>
              </w:rPr>
            </w:pPr>
            <w:r>
              <w:rPr>
                <w:rFonts w:ascii="Calibri" w:hAnsi="Calibri"/>
                <w:b w:val="1"/>
                <w:bCs w:val="1"/>
                <w:sz w:val="24"/>
                <w:szCs w:val="24"/>
                <w:rtl w:val="0"/>
              </w:rPr>
              <w:t>Status</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center"/>
              <w:rPr>
                <w:rtl w:val="0"/>
              </w:rPr>
            </w:pPr>
            <w:r>
              <w:rPr>
                <w:rFonts w:ascii="Calibri" w:hAnsi="Calibri"/>
                <w:b w:val="1"/>
                <w:bCs w:val="1"/>
                <w:sz w:val="24"/>
                <w:szCs w:val="24"/>
                <w:rtl w:val="0"/>
              </w:rPr>
              <w:t>Transactions</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center"/>
              <w:rPr>
                <w:rtl w:val="0"/>
              </w:rPr>
            </w:pPr>
            <w:r>
              <w:rPr>
                <w:rFonts w:ascii="Calibri" w:hAnsi="Calibri"/>
                <w:b w:val="1"/>
                <w:bCs w:val="1"/>
                <w:sz w:val="24"/>
                <w:szCs w:val="24"/>
                <w:rtl w:val="0"/>
              </w:rPr>
              <w:t>Asset/Liability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center"/>
              <w:rPr>
                <w:rtl w:val="0"/>
              </w:rPr>
            </w:pPr>
            <w:r>
              <w:rPr>
                <w:rFonts w:ascii="Calibri" w:hAnsi="Calibri"/>
                <w:b w:val="1"/>
                <w:bCs w:val="1"/>
                <w:sz w:val="24"/>
                <w:szCs w:val="24"/>
                <w:rtl w:val="0"/>
              </w:rPr>
              <w:t>Amount Rs</w:t>
            </w:r>
          </w:p>
        </w:tc>
      </w:tr>
      <w:tr>
        <w:tblPrEx>
          <w:shd w:val="clear" w:color="auto" w:fill="auto"/>
        </w:tblPrEx>
        <w:trPr>
          <w:trHeight w:val="102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1</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Pacific Medical University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Received</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Liabiity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-3,36,00,000</w:t>
            </w:r>
          </w:p>
        </w:tc>
      </w:tr>
      <w:tr>
        <w:tblPrEx>
          <w:shd w:val="clear" w:color="auto" w:fill="auto"/>
        </w:tblPrEx>
        <w:trPr>
          <w:trHeight w:val="102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2</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Pacific Medicare Academy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Received</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Liabiity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-13,50,000</w:t>
            </w:r>
          </w:p>
        </w:tc>
      </w:tr>
      <w:tr>
        <w:tblPrEx>
          <w:shd w:val="clear" w:color="auto" w:fill="auto"/>
        </w:tblPrEx>
        <w:trPr>
          <w:trHeight w:val="66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3</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Sheetal Agarwal</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individual</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37,150</w:t>
            </w:r>
          </w:p>
        </w:tc>
      </w:tr>
      <w:tr>
        <w:tblPrEx>
          <w:shd w:val="clear" w:color="auto" w:fill="auto"/>
        </w:tblPrEx>
        <w:trPr>
          <w:trHeight w:val="102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4</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Garden Real Estate and Hotels Limited</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company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1,00,000</w:t>
            </w:r>
          </w:p>
        </w:tc>
      </w:tr>
      <w:tr>
        <w:tblPrEx>
          <w:shd w:val="clear" w:color="auto" w:fill="auto"/>
        </w:tblPrEx>
        <w:trPr>
          <w:trHeight w:val="102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5</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Pacific Education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9,50,000</w:t>
            </w:r>
          </w:p>
        </w:tc>
      </w:tr>
      <w:tr>
        <w:tblPrEx>
          <w:shd w:val="clear" w:color="auto" w:fill="auto"/>
        </w:tblPrEx>
        <w:trPr>
          <w:trHeight w:val="138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6</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SVVIP Infra Projects Solution Pvt.Ltd.</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company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10,00,000</w:t>
            </w:r>
          </w:p>
        </w:tc>
      </w:tr>
      <w:tr>
        <w:tblPrEx>
          <w:shd w:val="clear" w:color="auto" w:fill="auto"/>
        </w:tblPrEx>
        <w:trPr>
          <w:trHeight w:val="66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7</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Laksh Marketing</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Individual</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15,00,000</w:t>
            </w:r>
          </w:p>
        </w:tc>
      </w:tr>
      <w:tr>
        <w:tblPrEx>
          <w:shd w:val="clear" w:color="auto" w:fill="auto"/>
        </w:tblPrEx>
        <w:trPr>
          <w:trHeight w:val="66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8</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Leather Walk Foot Wear</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Individual</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15,00,000</w:t>
            </w:r>
          </w:p>
        </w:tc>
      </w:tr>
      <w:tr>
        <w:tblPrEx>
          <w:shd w:val="clear" w:color="auto" w:fill="auto"/>
        </w:tblPrEx>
        <w:trPr>
          <w:trHeight w:val="66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9</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Mr. Sanyam Suneja</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Individual</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40,00,000</w:t>
            </w:r>
          </w:p>
        </w:tc>
      </w:tr>
      <w:tr>
        <w:tblPrEx>
          <w:shd w:val="clear" w:color="auto" w:fill="auto"/>
        </w:tblPrEx>
        <w:trPr>
          <w:trHeight w:val="102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10</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Venkateshwar Bhagvan Eduction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45,28,474</w:t>
            </w:r>
          </w:p>
        </w:tc>
      </w:tr>
      <w:tr>
        <w:tblPrEx>
          <w:shd w:val="clear" w:color="auto" w:fill="auto"/>
        </w:tblPrEx>
        <w:trPr>
          <w:trHeight w:val="102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11</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Tirupati Balaji Education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80,42,579</w:t>
            </w:r>
          </w:p>
        </w:tc>
      </w:tr>
      <w:tr>
        <w:tblPrEx>
          <w:shd w:val="clear" w:color="auto" w:fill="auto"/>
        </w:tblPrEx>
        <w:trPr>
          <w:trHeight w:val="102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12</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Dhaval Marble &amp; Granites Pvt.Ltd</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company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1,52,05,104</w:t>
            </w:r>
          </w:p>
        </w:tc>
      </w:tr>
      <w:tr>
        <w:tblPrEx>
          <w:shd w:val="clear" w:color="auto" w:fill="auto"/>
        </w:tblPrEx>
        <w:trPr>
          <w:trHeight w:val="174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13</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Pacific Academic of Higher Education and Research Uo</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5,75,33,472</w:t>
            </w:r>
          </w:p>
        </w:tc>
      </w:tr>
      <w:tr>
        <w:tblPrEx>
          <w:shd w:val="clear" w:color="auto" w:fill="auto"/>
        </w:tblPrEx>
        <w:trPr>
          <w:trHeight w:val="174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14</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Euro Asia Marbel Trading Company Pvt.Ltd.</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company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8,60,38,916</w:t>
            </w:r>
          </w:p>
        </w:tc>
      </w:tr>
      <w:tr>
        <w:tblPrEx>
          <w:shd w:val="clear" w:color="auto" w:fill="auto"/>
        </w:tblPrEx>
        <w:trPr>
          <w:trHeight w:val="174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15</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Narbada Hospital and Medial Research Limited</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company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8,85,61,487</w:t>
            </w:r>
          </w:p>
        </w:tc>
      </w:tr>
      <w:tr>
        <w:tblPrEx>
          <w:shd w:val="clear" w:color="auto" w:fill="auto"/>
        </w:tblPrEx>
        <w:trPr>
          <w:trHeight w:val="661"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rtl w:val="0"/>
                <w14:textOutline>
                  <w14:noFill/>
                </w14:textOutline>
                <w14:textFill>
                  <w14:solidFill>
                    <w14:srgbClr w14:val="000000"/>
                  </w14:solidFill>
                </w14:textFill>
              </w:rPr>
              <w:t>16</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Sai Tirupati University</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Loans Given by Trust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pStyle w:val="Table Style 2"/>
              <w:bidi w:val="0"/>
              <w:ind w:left="0" w:right="0" w:firstLine="0"/>
              <w:jc w:val="left"/>
              <w:rPr>
                <w:rtl w:val="0"/>
              </w:rPr>
            </w:pPr>
            <w:r>
              <w:rPr>
                <w:rFonts w:ascii="Calibri" w:hAnsi="Calibri"/>
                <w:sz w:val="30"/>
                <w:szCs w:val="30"/>
                <w:rtl w:val="0"/>
              </w:rPr>
              <w:t>Asset</w:t>
            </w: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6a6a6"/>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rtl w:val="0"/>
                <w14:textOutline>
                  <w14:noFill/>
                </w14:textOutline>
                <w14:textFill>
                  <w14:solidFill>
                    <w14:srgbClr w14:val="000000"/>
                  </w14:solidFill>
                </w14:textFill>
              </w:rPr>
              <w:t>12,03,62,753</w:t>
            </w:r>
          </w:p>
        </w:tc>
      </w:tr>
      <w:tr>
        <w:tblPrEx>
          <w:shd w:val="clear" w:color="auto" w:fill="auto"/>
        </w:tblPrEx>
        <w:trPr>
          <w:trHeight w:val="400" w:hRule="atLeast"/>
        </w:trPr>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tc>
        <w:tc>
          <w:tcPr>
            <w:tcW w:type="dxa" w:w="2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bcbcb"/>
            <w:tcMar>
              <w:top w:type="dxa" w:w="0"/>
              <w:left w:type="dxa" w:w="100"/>
              <w:bottom w:type="dxa" w:w="0"/>
              <w:right w:type="dxa" w:w="10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rtl w:val="0"/>
                <w14:textOutline>
                  <w14:noFill/>
                </w14:textOutline>
                <w14:textFill>
                  <w14:solidFill>
                    <w14:srgbClr w14:val="000000"/>
                  </w14:solidFill>
                </w14:textFill>
              </w:rPr>
              <w:t>35,44,09,935</w:t>
            </w:r>
          </w:p>
        </w:tc>
      </w:tr>
    </w:tbl>
    <w:p>
      <w:pPr>
        <w:pStyle w:val="Default"/>
        <w:bidi w:val="0"/>
        <w:spacing w:before="0" w:line="240" w:lineRule="auto"/>
        <w:ind w:left="0" w:right="0" w:firstLine="0"/>
        <w:jc w:val="center"/>
        <w:rPr>
          <w:rFonts w:ascii="Calibri" w:cs="Calibri" w:hAnsi="Calibri" w:eastAsia="Calibri"/>
          <w:b w:val="1"/>
          <w:bCs w:val="1"/>
          <w:sz w:val="28"/>
          <w:szCs w:val="28"/>
          <w:rtl w:val="0"/>
        </w:rPr>
      </w:pPr>
    </w:p>
    <w:p>
      <w:pPr>
        <w:pStyle w:val="Body"/>
        <w:bidi w:val="0"/>
      </w:pPr>
      <w:r>
        <w:rPr>
          <w:rFonts w:ascii="Arial Unicode MS" w:cs="Arial Unicode MS" w:hAnsi="Arial Unicode MS" w:eastAsia="Arial Unicode MS"/>
          <w:b w:val="0"/>
          <w:bCs w:val="0"/>
          <w:i w:val="0"/>
          <w:iCs w:val="0"/>
        </w:rPr>
        <w:br w:type="page"/>
      </w:r>
    </w:p>
    <w:p>
      <w:pPr>
        <w:pStyle w:val="Body"/>
        <w:bidi w:val="0"/>
      </w:pPr>
      <w:r>
        <w:drawing xmlns:a="http://schemas.openxmlformats.org/drawingml/2006/main">
          <wp:anchor distT="152400" distB="152400" distL="152400" distR="152400" simplePos="0" relativeHeight="251659264" behindDoc="0" locked="0" layoutInCell="1" allowOverlap="1">
            <wp:simplePos x="0" y="0"/>
            <wp:positionH relativeFrom="margin">
              <wp:posOffset>758657</wp:posOffset>
            </wp:positionH>
            <wp:positionV relativeFrom="line">
              <wp:posOffset>0</wp:posOffset>
            </wp:positionV>
            <wp:extent cx="4590043" cy="6120057"/>
            <wp:effectExtent l="0" t="0" r="0" b="0"/>
            <wp:wrapTopAndBottom distT="152400" distB="152400"/>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tretch>
                      <a:fillRect/>
                    </a:stretch>
                  </pic:blipFill>
                  <pic:spPr>
                    <a:xfrm>
                      <a:off x="0" y="0"/>
                      <a:ext cx="4590043" cy="6120057"/>
                    </a:xfrm>
                    <a:prstGeom prst="rect">
                      <a:avLst/>
                    </a:prstGeom>
                    <a:ln w="12700" cap="flat">
                      <a:noFill/>
                      <a:miter lim="400000"/>
                    </a:ln>
                    <a:effectLst/>
                  </pic:spPr>
                </pic:pic>
              </a:graphicData>
            </a:graphic>
          </wp:anchor>
        </w:drawing>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Lettered">
    <w:name w:val="Lett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